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Política de Parcerias Estratégicas</w:t>
      </w:r>
    </w:p>
    <w:p>
      <w:pPr>
        <w:spacing w:after="320"/>
      </w:pPr>
      <w:r>
        <w:rPr>
          <w:rFonts w:ascii="Calibri" w:hAnsi="Calibri"/>
          <w:color w:val="595959"/>
          <w:sz w:val="20"/>
        </w:rPr>
        <w:t>Versão 1.4 | Vigência proposta: 30/08/2026</w:t>
      </w:r>
    </w:p>
    <w:p>
      <w:pPr>
        <w:spacing w:after="280"/>
      </w:pPr>
      <w:r>
        <w:rPr>
          <w:rFonts w:ascii="Calibri" w:hAnsi="Calibri"/>
          <w:color w:val="595959"/>
          <w:sz w:val="18"/>
        </w:rPr>
        <w:t>77Gira | 77Giramundo | Edilson Mateus de Oliveira | 77giramundo@gmail.com</w:t>
      </w:r>
    </w:p>
    <w:p>
      <w:pPr>
        <w:pStyle w:val="Heading1"/>
      </w:pPr>
      <w:r>
        <w:t>1. Finalidade</w:t>
      </w:r>
    </w:p>
    <w:p>
      <w:r>
        <w:t>Parcerias podem envolver presença institucional, projetos culturais, ativações, conteúdo ou publicidade. Curadoria editorial permanece independente.</w:t>
      </w:r>
    </w:p>
    <w:p>
      <w:pPr>
        <w:pStyle w:val="Heading1"/>
      </w:pPr>
      <w:r>
        <w:t>2. Dados e transparência</w:t>
      </w:r>
    </w:p>
    <w:p>
      <w:r>
        <w:t>Relatórios a Parceiros são agregados e não identificam Usuários, salvo base legal e instrumento específico. A presença institucional deve ser identificável quando aplicável.</w:t>
      </w:r>
    </w:p>
    <w:p>
      <w:pPr>
        <w:pStyle w:val="Heading1"/>
      </w:pPr>
      <w:r>
        <w:t>3. Condições específicas</w:t>
      </w:r>
    </w:p>
    <w:p>
      <w:r>
        <w:t>Exclusividade, bloqueio de concorrente, investimento, prazo, canais, contrapartidas e uso de marca dependem de instrumento escrito específico.</w:t>
      </w:r>
    </w:p>
    <w:p>
      <w:r>
        <w:t>Este documento utiliza aceite eletrônico quando apresentado dentro da plataforma. Itens sinalizados como pendentes exigem definição e revisão jurídica antes de publicação ou assinatura.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>77Giramundo | Rua Antonio Martins Costa, 407, Jardim Boa Vista - Butantã, São Paulo - SP, CEP 05584-000.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77Gira | Documento jurídico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