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Termo de Tratamento de Dados e Fornecedores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Minuta-base v1.4 | Uso interno e contratual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Papéis</w:t>
      </w:r>
    </w:p>
    <w:p>
      <w:r>
        <w:t>Controlador, operador, eventual corresponsável e encarregado devem ser definidos por fluxo e fornecedor. O fornecedor trata dados apenas conforme instruções documentadas, contrato, termos aplicáveis e lei.</w:t>
      </w:r>
    </w:p>
    <w:p>
      <w:pPr>
        <w:pStyle w:val="Heading1"/>
      </w:pPr>
      <w:r>
        <w:t>2. Segurança e transferências</w:t>
      </w:r>
    </w:p>
    <w:p>
      <w:r>
        <w:t>O fornecedor deve adotar controles de acesso, proteção de segredos, revisão de permissões, segurança proporcional e apoio em incidentes. Transferências internacionais, suboperadores, países e salvaguardas devem ser confirmados para cada fornecedor antes de publicação contratual.</w:t>
      </w:r>
    </w:p>
    <w:p>
      <w:pPr>
        <w:pStyle w:val="Heading1"/>
      </w:pPr>
      <w:r>
        <w:t>3. Término e pendências</w:t>
      </w:r>
    </w:p>
    <w:p>
      <w:r>
        <w:t>No término, dados devem ser devolvidos ou eliminados conforme instruções, ressalvadas retenções legais, segurança, backup ou defesa de direitos. Prazos de backup, retenção, resposta a incidentes e comprovação de eliminação: [DECISÃO JURÍDICA/PRODUTO PENDENTE]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