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</w:pPr>
      <w:r>
        <w:rPr>
          <w:rFonts w:ascii="Calibri" w:hAnsi="Calibri"/>
          <w:b/>
          <w:color w:val="D59A19"/>
          <w:sz w:val="40"/>
        </w:rPr>
        <w:t>77Gira</w:t>
      </w:r>
    </w:p>
    <w:p>
      <w:pPr>
        <w:spacing w:after="240"/>
      </w:pPr>
      <w:r>
        <w:rPr>
          <w:rFonts w:ascii="Calibri" w:hAnsi="Calibri"/>
          <w:b/>
          <w:color w:val="0B2545"/>
          <w:sz w:val="54"/>
        </w:rPr>
        <w:t>Estratégia de Precificação Publicitária e Parcerias</w:t>
      </w:r>
    </w:p>
    <w:p>
      <w:pPr>
        <w:spacing w:after="480"/>
      </w:pPr>
      <w:r>
        <w:rPr>
          <w:rFonts w:ascii="Calibri" w:hAnsi="Calibri"/>
          <w:color w:val="4B5563"/>
          <w:sz w:val="26"/>
        </w:rPr>
        <w:t>Modelo inicial para mídia, créditos publicitários, patrocínios e negociações estratégicas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Calibri" w:hAnsi="Calibri"/>
                <w:b/>
                <w:color w:val="2E74B5"/>
                <w:sz w:val="20"/>
              </w:rPr>
              <w:t>RECOMENDAÇÃO CENTRAL</w:t>
              <w:br/>
            </w:r>
            <w:r>
              <w:rPr>
                <w:rFonts w:ascii="Calibri" w:hAnsi="Calibri"/>
                <w:b/>
                <w:color w:val="0B2545"/>
                <w:sz w:val="24"/>
              </w:rPr>
              <w:t>Adotar CPM-base de R$ 35, CPM segmentado de R$ 55 e CPM premium de R$ 80, com investimento mínimo de R$ 750. Usar usuários ativos como régua interna de capacidade — e vender ao mercado entregas mensuráveis.</w:t>
            </w:r>
          </w:p>
        </w:tc>
      </w:tr>
    </w:tbl>
    <w:p/>
    <w:p>
      <w:r>
        <w:rPr>
          <w:rFonts w:ascii="Calibri" w:hAnsi="Calibri"/>
          <w:b/>
          <w:color w:val="1F4D78"/>
        </w:rPr>
        <w:t xml:space="preserve">Natureza do documento: </w:t>
      </w:r>
      <w:r>
        <w:t>proposta preliminar para validação com dados reais de audiência, inventário e desempenho.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t>O tamanho da base ajuda a sustentar o valor da 77Gira, mas não deve ser a unidade diretamente vendida. Empresas de maior porte compram audiência entregue, segmentação, contexto, segurança e resultado mensurável — não apenas quantidade de cadastros.</w:t>
      </w:r>
    </w:p>
    <w:p>
      <w:r>
        <w:t>A linguagem comercial recomendada é: “Entregaremos 60 mil impressões para uma audiência segmentada, em contexto de samba, cultura, entretenimento e consumo local, com relatório de alcance, cliques e desempenho.”</w:t>
      </w:r>
    </w:p>
    <w:p>
      <w:pPr>
        <w:pStyle w:val="Heading1"/>
      </w:pPr>
      <w:r>
        <w:t>1. Arquitetura comercial recomendada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Camada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 que está sendo vendido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Modelo de cobrança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Mídia avulsa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Exibição de anúncios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CPM, CPC ou pacote de campanha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Patrocínio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Associação da marca a uma área ou experiência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Mensalidade fixa + mídia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Parceria estratégica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Presença continuada, exclusividade e projetos conjuntos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Contrato semestral ou anual</w:t>
            </w:r>
          </w:p>
        </w:tc>
      </w:tr>
    </w:tbl>
    <w:p>
      <w:pPr>
        <w:spacing w:after="0"/>
      </w:pPr>
    </w:p>
    <w:p>
      <w:r>
        <w:t>As três camadas devem possuir propostas e contratos distintos. Misturá-las numa única tabela reduz a clareza do valor e aumenta a pressão por descontos.</w:t>
      </w:r>
    </w:p>
    <w:p>
      <w:pPr>
        <w:pStyle w:val="Heading1"/>
      </w:pPr>
      <w:r>
        <w:t>2. Como o tamanho da base deve entrar</w:t>
      </w:r>
    </w:p>
    <w:p>
      <w:r>
        <w:t>A principal referência de audiência deve ser MAU — usuários ativos mensais — e não simplesmente usuários cadastrados. Um cadastro inativo não gera exposição para o anunciante.</w:t>
      </w:r>
    </w:p>
    <w:p>
      <w:pPr>
        <w:pStyle w:val="ListBullet"/>
      </w:pPr>
      <w:r>
        <w:t>Usuários ativos mensais;</w:t>
      </w:r>
    </w:p>
    <w:p>
      <w:pPr>
        <w:pStyle w:val="ListBullet"/>
      </w:pPr>
      <w:r>
        <w:t>Sessões mensais;</w:t>
      </w:r>
    </w:p>
    <w:p>
      <w:pPr>
        <w:pStyle w:val="ListBullet"/>
      </w:pPr>
      <w:r>
        <w:t>Páginas ou telas visualizadas;</w:t>
      </w:r>
    </w:p>
    <w:p>
      <w:pPr>
        <w:pStyle w:val="ListBullet"/>
      </w:pPr>
      <w:r>
        <w:t>Impressões publicitárias disponíveis e efetivamente entregues;</w:t>
      </w:r>
    </w:p>
    <w:p>
      <w:pPr>
        <w:pStyle w:val="ListBullet"/>
      </w:pPr>
      <w:r>
        <w:t>Alcance único, cliques e CTR;</w:t>
      </w:r>
    </w:p>
    <w:p>
      <w:pPr>
        <w:pStyle w:val="ListBullet"/>
      </w:pPr>
      <w:r>
        <w:t>Cidade, região ou perfil da audiência;</w:t>
      </w:r>
    </w:p>
    <w:p>
      <w:pPr>
        <w:pStyle w:val="ListBullet"/>
      </w:pPr>
      <w:r>
        <w:t>Visualizações de eventos, casas e artistas.</w:t>
      </w:r>
    </w:p>
    <w:p>
      <w:r>
        <w:t>CPM significa custo por mil impressões. É uma unidade amplamente utilizada no mercado publicitário digital e permite comparar entregas de forma objetiva.</w:t>
      </w:r>
    </w:p>
    <w:p>
      <w:pPr>
        <w:pStyle w:val="Heading1"/>
      </w:pPr>
      <w:r>
        <w:t>3. Régua inicial de preços</w:t>
      </w:r>
    </w:p>
    <w:p>
      <w:r>
        <w:t>Os valores seguintes são recomendações estratégicas para a fase inicial da 77Gira. Não representam uma média oficial de mercado e devem ser recalibrados após os primeiros ciclos de campanha.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2800"/>
        <w:gridCol w:w="2960"/>
      </w:tblGrid>
      <w:tr>
        <w:trPr>
          <w:tblHeader w:val="true"/>
        </w:trP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Produto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Entrega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Preço de tabela sugerido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Display rotativo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1.000 impressões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R$ 35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Display segmentado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1.000 impressões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R$ 55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Posição premium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1.000 impressões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R$ 80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Destaque de evento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 dias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R$ 250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Destaque de casa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 dias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R$ 600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Presença patrocinada em seção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 dias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partir de R$ 1.500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Campanha piloto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Até 15.000 impressões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R$ 750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Campanha local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Até 30.000 impressões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R$ 1.500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Campanha regional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Até 60.000 impressões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R$ 3.000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Campanha premium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Até 120.000 impressões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R$ 6.000</w:t>
            </w:r>
          </w:p>
        </w:tc>
      </w:tr>
    </w:tbl>
    <w:p>
      <w:pPr>
        <w:spacing w:after="0"/>
      </w:pPr>
    </w:p>
    <w:p>
      <w:r>
        <w:t>A segmentação pode elevar o preço porque uma audiência pequena e muito pertinente pode valer mais do que uma audiência grande e genérica. A 77Gira reúne contexto de samba, cultura, vida noturna, gastronomia, mobilidade, bebidas, moda e turismo.</w:t>
      </w:r>
    </w:p>
    <w:p>
      <w:pPr>
        <w:pStyle w:val="Heading1"/>
      </w:pPr>
      <w:r>
        <w:t>4. Régua interna por usuários ativos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400"/>
        <w:gridCol w:w="356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Base ativa mensal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Estágio comercial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Investimento mínimo recomendado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a 499 MAU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Campanha fundadora/piloto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R$ 750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500 a 1.999 MAU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Campanha local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R$ 1.500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2.000 a 4.999 MAU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Campanha segmentada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R$ 3.000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5.000 a 14.999 MAU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Campanha regional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R$ 6.000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15.000 a 49.999 MAU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Campanha de escala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R$ 12.000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50.000+ MAU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Projeto especial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Sob consulta</w:t>
            </w:r>
          </w:p>
        </w:tc>
      </w:tr>
    </w:tbl>
    <w:p>
      <w:pPr>
        <w:spacing w:after="0"/>
      </w:pPr>
    </w:p>
    <w:p>
      <w:r>
        <w:t>Esses valores só são defensáveis se a plataforma conseguir entregar o volume contratado. Exemplo: 500 usuários ativos × 40 impressões publicitárias aproveitáveis por mês = aproximadamente 20 mil impressões. A um CPM de R$ 50, o valor bruto estimado do inventário seria de R$ 1.000.</w:t>
      </w:r>
    </w:p>
    <w:p>
      <w:pPr>
        <w:jc w:val="center"/>
      </w:pPr>
      <w:r>
        <w:rPr>
          <w:rFonts w:ascii="Calibri" w:hAnsi="Calibri"/>
          <w:b/>
          <w:color w:val="0B2545"/>
          <w:sz w:val="24"/>
        </w:rPr>
        <w:t>Receita potencial = (impressões vendáveis ÷ 1.000) × CPM médio</w:t>
      </w:r>
    </w:p>
    <w:p>
      <w:r>
        <w:t>Recomenda-se preservar de 20% a 30% do inventário para compensações, campanhas próprias, testes e oscilações de entrega.</w:t>
      </w:r>
    </w:p>
    <w:p>
      <w:pPr>
        <w:pStyle w:val="Heading1"/>
      </w:pPr>
      <w:r>
        <w:t>5. Estrutura dos créditos publicitários</w:t>
      </w:r>
    </w:p>
    <w:p>
      <w:r>
        <w:t>O valor monetário do crédito deve permanecer estável. O que varia é o consumo de créditos por posicionamento, segmentação e modalidade de entrega.</w:t>
      </w:r>
    </w:p>
    <w:p>
      <w:pPr>
        <w:jc w:val="center"/>
      </w:pPr>
      <w:r>
        <w:rPr>
          <w:rFonts w:ascii="Calibri" w:hAnsi="Calibri"/>
          <w:b/>
          <w:color w:val="2E74B5"/>
          <w:sz w:val="28"/>
        </w:rPr>
        <w:t>100 créditos 77GiraADS = R$ 1,00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</w:trPr>
        <w:tc>
          <w:tcPr>
            <w:tcW w:type="dxa" w:w="6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Entrega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Consumo sugerido</w:t>
            </w:r>
          </w:p>
        </w:tc>
      </w:tr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1.000 impressões rotativas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3.500 créditos</w:t>
            </w:r>
          </w:p>
        </w:tc>
      </w:tr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1.000 impressões segmentadas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5.500 créditos</w:t>
            </w:r>
          </w:p>
        </w:tc>
      </w:tr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1.000 impressões premium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8.000 créditos</w:t>
            </w:r>
          </w:p>
        </w:tc>
      </w:tr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Destaque de evento por 7 dias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25.000 créditos</w:t>
            </w:r>
          </w:p>
        </w:tc>
      </w:tr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Destaque de casa por 30 dias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60.000 créditos</w:t>
            </w:r>
          </w:p>
        </w:tc>
      </w:tr>
    </w:tbl>
    <w:p>
      <w:pPr>
        <w:spacing w:after="0"/>
      </w:pPr>
    </w:p>
    <w:p>
      <w:pPr>
        <w:pStyle w:val="Heading2"/>
      </w:pPr>
      <w:r>
        <w:t>Bônus por volume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Compra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Crédito disponibilizado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R$ 500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50.000 créditos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R$ 1.000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105.000 créditos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R$ 3.000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330.000 créditos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R$ 5.000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575.000 créditos</w:t>
            </w:r>
          </w:p>
        </w:tc>
      </w:tr>
    </w:tbl>
    <w:p>
      <w:pPr>
        <w:spacing w:after="0"/>
      </w:pPr>
    </w:p>
    <w:p>
      <w:r>
        <w:t>O bônus permite negociar sem alterar oficialmente a tabela e sem desvalorizar créditos adquiridos anteriormente.</w:t>
      </w:r>
    </w:p>
    <w:p>
      <w:pPr>
        <w:pStyle w:val="Heading1"/>
      </w:pPr>
      <w:r>
        <w:t>6. Parcerias estratégicas</w:t>
      </w:r>
    </w:p>
    <w:p>
      <w:r>
        <w:t>Parceria estratégica não deve ser tratada como simples compra antecipada de publicidade. O pacote pode incluir associação institucional, prioridade ou exclusividade de categoria, ativações, conteúdo patrocinado, relatórios agregados e participação em lançamentos.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360"/>
      </w:tblGrid>
      <w:tr>
        <w:trPr>
          <w:tblHeader w:val="true"/>
        </w:trPr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Categoria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Investimento sugerido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Parceiro apoiador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R$ 2.500 a R$ 5.000/mês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Parceiro oficial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R$ 6.000 a R$ 12.000/mês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Parceiro estratégico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R$ 15.000 a R$ 30.000/mês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Patrocinador principal / naming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partir de R$ 150.000/ano</w:t>
            </w:r>
          </w:p>
        </w:tc>
      </w:tr>
    </w:tbl>
    <w:p>
      <w:pPr>
        <w:spacing w:after="0"/>
      </w:pPr>
    </w:p>
    <w:p>
      <w:r>
        <w:t>Exclusividade tem preço porque impede a 77Gira de negociar com concorrentes da mesma categoria. Não é recomendável conceder exclusividade ampla por valores baixos ou sem prazo definido.</w:t>
      </w:r>
    </w:p>
    <w:p>
      <w:pPr>
        <w:jc w:val="center"/>
      </w:pPr>
      <w:r>
        <w:rPr>
          <w:rFonts w:ascii="Calibri" w:hAnsi="Calibri"/>
          <w:b/>
          <w:color w:val="0B2545"/>
          <w:sz w:val="22"/>
        </w:rPr>
        <w:t>Preço = mídia + produção + ativação + exclusividade + dados/relatórios + risco operacional</w:t>
      </w:r>
    </w:p>
    <w:p>
      <w:pPr>
        <w:pStyle w:val="Heading2"/>
      </w:pPr>
      <w:r>
        <w:t>Exemplo de composição mensal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500"/>
        <w:gridCol w:w="3860"/>
      </w:tblGrid>
      <w:tr>
        <w:trPr>
          <w:tblHeader w:val="true"/>
        </w:trPr>
        <w:tc>
          <w:tcPr>
            <w:tcW w:type="dxa" w:w="5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Componente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Valor mensal</w:t>
            </w:r>
          </w:p>
        </w:tc>
      </w:tr>
      <w:tr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Mídia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R$ 4.000</w:t>
            </w:r>
          </w:p>
        </w:tc>
      </w:tr>
      <w:tr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Produção e gestão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R$ 2.000</w:t>
            </w:r>
          </w:p>
        </w:tc>
      </w:tr>
      <w:tr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Ativação ou conteúdo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R$ 2.500</w:t>
            </w:r>
          </w:p>
        </w:tc>
      </w:tr>
      <w:tr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Exclusividade da categoria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R$ 3.500</w:t>
            </w:r>
          </w:p>
        </w:tc>
      </w:tr>
      <w:tr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Relatórios e inteligência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R$ 1.000</w:t>
            </w:r>
          </w:p>
        </w:tc>
      </w:tr>
      <w:tr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R$ 13.000/mês</w:t>
            </w:r>
          </w:p>
        </w:tc>
      </w:tr>
    </w:tbl>
    <w:p>
      <w:pPr>
        <w:spacing w:after="0"/>
      </w:pPr>
    </w:p>
    <w:p>
      <w:pPr>
        <w:pStyle w:val="Heading1"/>
      </w:pPr>
      <w:r>
        <w:t>7. Conduta em negociações</w:t>
      </w:r>
    </w:p>
    <w:p>
      <w:r>
        <w:t>Antes de apresentar preço, é necessário diagnosticar a necessidade comercial do cliente:</w:t>
      </w:r>
    </w:p>
    <w:p>
      <w:pPr>
        <w:pStyle w:val="ListBullet"/>
      </w:pPr>
      <w:r>
        <w:t>Qual é o objetivo da campanha?</w:t>
      </w:r>
    </w:p>
    <w:p>
      <w:pPr>
        <w:pStyle w:val="ListBullet"/>
      </w:pPr>
      <w:r>
        <w:t>Qual público e território são prioritários?</w:t>
      </w:r>
    </w:p>
    <w:p>
      <w:pPr>
        <w:pStyle w:val="ListBullet"/>
      </w:pPr>
      <w:r>
        <w:t>A campanha busca alcance, tráfego, cadastro ou venda?</w:t>
      </w:r>
    </w:p>
    <w:p>
      <w:pPr>
        <w:pStyle w:val="ListBullet"/>
      </w:pPr>
      <w:r>
        <w:t>Há meta mínima de impressões ou cliques?</w:t>
      </w:r>
    </w:p>
    <w:p>
      <w:pPr>
        <w:pStyle w:val="ListBullet"/>
      </w:pPr>
      <w:r>
        <w:t>Existe exigência de exclusividade?</w:t>
      </w:r>
    </w:p>
    <w:p>
      <w:pPr>
        <w:pStyle w:val="ListBullet"/>
      </w:pPr>
      <w:r>
        <w:t>Quem produzirá os materiais?</w:t>
      </w:r>
    </w:p>
    <w:p>
      <w:pPr>
        <w:pStyle w:val="ListBullet"/>
      </w:pPr>
      <w:r>
        <w:t>Qual é o período da campanha?</w:t>
      </w:r>
    </w:p>
    <w:p>
      <w:pPr>
        <w:pStyle w:val="ListBullet"/>
      </w:pPr>
      <w:r>
        <w:t>Como a empresa mede sucesso?</w:t>
      </w:r>
    </w:p>
    <w:p>
      <w:pPr>
        <w:pStyle w:val="ListBullet"/>
      </w:pPr>
      <w:r>
        <w:t>Qual faixa de investimento já está reservada?</w:t>
      </w:r>
    </w:p>
    <w:p>
      <w:r>
        <w:t>A proposta deve conter três alternativas, criando comparação e reduzindo a pressão por desconto: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Plano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Papel na negociação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Essencial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Entrada controlada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Recomendado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Melhor relação entre alcance e investimento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Presença estratégica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Associação continuada e exclusividade</w:t>
            </w:r>
          </w:p>
        </w:tc>
      </w:tr>
    </w:tbl>
    <w:p>
      <w:pPr>
        <w:spacing w:after="0"/>
      </w:pPr>
    </w:p>
    <w:p>
      <w:pPr>
        <w:pStyle w:val="Heading1"/>
      </w:pPr>
      <w:r>
        <w:t>8. Discurso comercial sugerido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Calibri" w:hAnsi="Calibri"/>
                <w:color w:val="0B2545"/>
                <w:sz w:val="22"/>
              </w:rPr>
              <w:t>“A 77Gira não comercializa simplesmente espaço em tela. Nós organizamos uma audiência cultural altamente contextualizada, conectada a eventos, casas, artistas e decisões reais de consumo. Nossas propostas são estruturadas por entrega, segmentação e posicionamento. Para este momento, recomendamos começar com uma campanha piloto mensurável e, a partir dos resultados, avançar para uma parceria continuada.”</w:t>
            </w:r>
          </w:p>
        </w:tc>
      </w:tr>
    </w:tbl>
    <w:p>
      <w:pPr>
        <w:pStyle w:val="Heading1"/>
      </w:pPr>
      <w:r>
        <w:t>9. Próximas decisões operacionais</w:t>
      </w:r>
    </w:p>
    <w:p>
      <w:pPr>
        <w:pStyle w:val="ListBullet"/>
      </w:pPr>
      <w:r>
        <w:t>Implementar mensuração consistente de impressão, clique, alcance e CTR;</w:t>
      </w:r>
    </w:p>
    <w:p>
      <w:pPr>
        <w:pStyle w:val="ListBullet"/>
      </w:pPr>
      <w:r>
        <w:t>Definir critérios de impressão válida e visibilidade;</w:t>
      </w:r>
    </w:p>
    <w:p>
      <w:pPr>
        <w:pStyle w:val="ListBullet"/>
      </w:pPr>
      <w:r>
        <w:t>Criar política de compensação para subentrega;</w:t>
      </w:r>
    </w:p>
    <w:p>
      <w:pPr>
        <w:pStyle w:val="ListBullet"/>
      </w:pPr>
      <w:r>
        <w:t>Configurar limites de inventário e reserva operacional;</w:t>
      </w:r>
    </w:p>
    <w:p>
      <w:pPr>
        <w:pStyle w:val="ListBullet"/>
      </w:pPr>
      <w:r>
        <w:t>Criar mídia kit com formatos, especificações e três pacotes;</w:t>
      </w:r>
    </w:p>
    <w:p>
      <w:pPr>
        <w:pStyle w:val="ListBullet"/>
      </w:pPr>
      <w:r>
        <w:t>Validar a tabela após três campanhas piloto;</w:t>
      </w:r>
    </w:p>
    <w:p>
      <w:pPr>
        <w:pStyle w:val="ListBullet"/>
      </w:pPr>
      <w:r>
        <w:t>Registrar preço de tabela, descontos, bonificações e aprovações.</w:t>
      </w:r>
    </w:p>
    <w:p>
      <w:pPr>
        <w:pStyle w:val="Heading1"/>
      </w:pPr>
      <w:r>
        <w:t>Referências de mercado</w:t>
      </w:r>
    </w:p>
    <w:p>
      <w:pPr>
        <w:pStyle w:val="ListBullet"/>
      </w:pPr>
      <w:r>
        <w:t>IAB Brasil — Glossário de Métricas para a Publicidade Digital: https://iabbrasil.com.br/wp-content/uploads/2023/02/Glossario-de-Metricas-para-a-Publicidade-Digital.pdf</w:t>
      </w:r>
    </w:p>
    <w:p>
      <w:pPr>
        <w:pStyle w:val="ListBullet"/>
      </w:pPr>
      <w:r>
        <w:t>Google Ad Manager — CPM de referência: https://support.google.com/admanager/answer/177222?hl=pt</w:t>
      </w:r>
    </w:p>
    <w:p>
      <w:pPr>
        <w:pStyle w:val="ListBullet"/>
      </w:pPr>
      <w:r>
        <w:t>IAB — Advertising Quality Measurement Buyer’s Guide: https://www.iab.com/wp-content/uploads/2018/09/Ad-Quality-Checklist_8-30-18.pdf</w:t>
      </w:r>
    </w:p>
    <w:p>
      <w:pPr>
        <w:spacing w:before="280"/>
      </w:pPr>
      <w:r>
        <w:rPr>
          <w:rFonts w:ascii="Calibri" w:hAnsi="Calibri"/>
          <w:b/>
          <w:color w:val="1F4D78"/>
        </w:rPr>
        <w:t xml:space="preserve">Nota: </w:t>
      </w:r>
      <w:r>
        <w:t>os valores deste documento são hipóteses comerciais iniciais. Devem ser revisados com dados reais de usuários ativos, frequência, inventário, ocupação, CTR, conversão e percepção dos primeiros anunciantes.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>Documento de trabalho •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B7280"/>
        <w:sz w:val="16"/>
      </w:rPr>
      <w:t>77GIRA  •  ESTRATÉGIA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77Gira — Estratégia de Precificação Publicitária e Parcerias</dc:title>
  <dc:subject>Modelo inicial de precificação, créditos, mídia e parcerias estratégicas</dc:subject>
  <dc:creator>77Gira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