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</w:pPr>
      <w:r>
        <w:rPr>
          <w:b/>
          <w:color w:val="EA580C"/>
          <w:sz w:val="18"/>
        </w:rPr>
        <w:t>77GIRA  |  JURÍDICO-OPERACIONAL</w:t>
      </w:r>
    </w:p>
    <w:p>
      <w:pPr>
        <w:pStyle w:val="Title"/>
      </w:pPr>
      <w:r>
        <w:t>Relatório de descoberta e matriz contratual — 77Gira</w:t>
      </w:r>
    </w:p>
    <w:p>
      <w:pPr>
        <w:spacing w:after="400"/>
      </w:pPr>
      <w:r>
        <w:rPr>
          <w:color w:val="475569"/>
          <w:sz w:val="28"/>
        </w:rPr>
        <w:t>Mapa de funcionamento, evidências, lacunas e prioridades antes da redação do pacote contratual.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110" w:type="dxa"/>
              <w:start w:w="130" w:type="dxa"/>
              <w:bottom w:w="110" w:type="dxa"/>
              <w:end w:w="130" w:type="dxa"/>
            </w:tcMar>
            <w:shd w:fill="EEF3F8"/>
            <w:tcBorders>
              <w:bottom w:val="single" w:sz="8" w:color="D9E2EF"/>
            </w:tcBorders>
          </w:tcPr>
          <w:p>
            <w:r>
              <w:rPr>
                <w:b/>
                <w:color w:val="18243A"/>
              </w:rPr>
              <w:t>Código</w:t>
            </w:r>
          </w:p>
        </w:tc>
        <w:tc>
          <w:tcPr>
            <w:tcW w:type="dxa" w:w="50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8" w:color="D9E2EF"/>
            </w:tcBorders>
          </w:tcPr>
          <w:p>
            <w:r>
              <w:t>00</w:t>
            </w:r>
          </w:p>
        </w:tc>
      </w:tr>
      <w:tr>
        <w:tc>
          <w:tcPr>
            <w:tcW w:type="dxa" w:w="5040"/>
            <w:tcMar>
              <w:top w:w="110" w:type="dxa"/>
              <w:start w:w="130" w:type="dxa"/>
              <w:bottom w:w="110" w:type="dxa"/>
              <w:end w:w="130" w:type="dxa"/>
            </w:tcMar>
            <w:shd w:fill="EEF3F8"/>
            <w:tcBorders>
              <w:bottom w:val="single" w:sz="8" w:color="D9E2EF"/>
            </w:tcBorders>
          </w:tcPr>
          <w:p>
            <w:r>
              <w:rPr>
                <w:b/>
                <w:color w:val="18243A"/>
              </w:rPr>
              <w:t>Status</w:t>
            </w:r>
          </w:p>
        </w:tc>
        <w:tc>
          <w:tcPr>
            <w:tcW w:type="dxa" w:w="50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8" w:color="D9E2EF"/>
            </w:tcBorders>
          </w:tcPr>
          <w:p>
            <w:r>
              <w:t>MINUTA PARA REVISÃO JURÍDICA</w:t>
            </w:r>
          </w:p>
        </w:tc>
      </w:tr>
      <w:tr>
        <w:tc>
          <w:tcPr>
            <w:tcW w:type="dxa" w:w="5040"/>
            <w:tcMar>
              <w:top w:w="110" w:type="dxa"/>
              <w:start w:w="130" w:type="dxa"/>
              <w:bottom w:w="110" w:type="dxa"/>
              <w:end w:w="130" w:type="dxa"/>
            </w:tcMar>
            <w:shd w:fill="EEF3F8"/>
            <w:tcBorders>
              <w:bottom w:val="single" w:sz="8" w:color="D9E2EF"/>
            </w:tcBorders>
          </w:tcPr>
          <w:p>
            <w:r>
              <w:rPr>
                <w:b/>
                <w:color w:val="18243A"/>
              </w:rPr>
              <w:t>Versão</w:t>
            </w:r>
          </w:p>
        </w:tc>
        <w:tc>
          <w:tcPr>
            <w:tcW w:type="dxa" w:w="50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8" w:color="D9E2EF"/>
            </w:tcBorders>
          </w:tcPr>
          <w:p>
            <w:r>
              <w:t>0.1 — descoberta e validação</w:t>
            </w:r>
          </w:p>
        </w:tc>
      </w:tr>
      <w:tr>
        <w:tc>
          <w:tcPr>
            <w:tcW w:type="dxa" w:w="5040"/>
            <w:tcMar>
              <w:top w:w="110" w:type="dxa"/>
              <w:start w:w="130" w:type="dxa"/>
              <w:bottom w:w="110" w:type="dxa"/>
              <w:end w:w="130" w:type="dxa"/>
            </w:tcMar>
            <w:shd w:fill="EEF3F8"/>
            <w:tcBorders>
              <w:bottom w:val="single" w:sz="8" w:color="D9E2EF"/>
            </w:tcBorders>
          </w:tcPr>
          <w:p>
            <w:r>
              <w:rPr>
                <w:b/>
                <w:color w:val="18243A"/>
              </w:rPr>
              <w:t>Data de referência</w:t>
            </w:r>
          </w:p>
        </w:tc>
        <w:tc>
          <w:tcPr>
            <w:tcW w:type="dxa" w:w="504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8" w:color="D9E2EF"/>
            </w:tcBorders>
          </w:tcPr>
          <w:p>
            <w:r>
              <w:t>31 de julho de 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b/>
                <w:color w:val="EA580C"/>
              </w:rPr>
              <w:t xml:space="preserve">Aviso essencial. </w:t>
            </w:r>
            <w:r>
              <w:t>Este material organiza fatos de sistema, riscos e perguntas de negócio. Não é parecer jurídico nem contrato aprovado. Toda redação futura deve passar por revisão de advogado brasileiro antes de publicação, aceite, assinatura ou vigência.</w:t>
            </w:r>
          </w:p>
        </w:tc>
      </w:tr>
    </w:tbl>
    <w:p>
      <w:r>
        <w:br w:type="page"/>
      </w:r>
    </w:p>
    <w:p>
      <w:pPr>
        <w:pStyle w:val="Heading1"/>
      </w:pPr>
      <w:r>
        <w:t>Sumário estruturado</w:t>
      </w:r>
    </w:p>
    <w:p>
      <w:pPr>
        <w:ind w:left="144"/>
      </w:pPr>
      <w:r>
        <w:rPr>
          <w:b/>
          <w:color w:val="EA580C"/>
        </w:rPr>
        <w:t xml:space="preserve">01. </w:t>
      </w:r>
      <w:r>
        <w:t>Objetivo, escopo e método</w:t>
      </w:r>
    </w:p>
    <w:p>
      <w:pPr>
        <w:ind w:left="144"/>
      </w:pPr>
      <w:r>
        <w:rPr>
          <w:b/>
          <w:color w:val="EA580C"/>
        </w:rPr>
        <w:t xml:space="preserve">02. </w:t>
      </w:r>
      <w:r>
        <w:t>Legenda de evidências</w:t>
      </w:r>
    </w:p>
    <w:p>
      <w:pPr>
        <w:ind w:left="144"/>
      </w:pPr>
      <w:r>
        <w:rPr>
          <w:b/>
          <w:color w:val="EA580C"/>
        </w:rPr>
        <w:t xml:space="preserve">03. </w:t>
      </w:r>
      <w:r>
        <w:t>Panorama operacional e relações jurídicas</w:t>
      </w:r>
    </w:p>
    <w:p>
      <w:pPr>
        <w:ind w:left="144"/>
      </w:pPr>
      <w:r>
        <w:rPr>
          <w:b/>
          <w:color w:val="EA580C"/>
        </w:rPr>
        <w:t xml:space="preserve">04. </w:t>
      </w:r>
      <w:r>
        <w:t>Funcionalidades e fluxos confirmados</w:t>
      </w:r>
    </w:p>
    <w:p>
      <w:pPr>
        <w:ind w:left="144"/>
      </w:pPr>
      <w:r>
        <w:rPr>
          <w:b/>
          <w:color w:val="EA580C"/>
        </w:rPr>
        <w:t xml:space="preserve">05. </w:t>
      </w:r>
      <w:r>
        <w:t>Funcionalidades futuras, experimentais ou não localizadas</w:t>
      </w:r>
    </w:p>
    <w:p>
      <w:pPr>
        <w:ind w:left="144"/>
      </w:pPr>
      <w:r>
        <w:rPr>
          <w:b/>
          <w:color w:val="EA580C"/>
        </w:rPr>
        <w:t xml:space="preserve">06. </w:t>
      </w:r>
      <w:r>
        <w:t>Mapa de dados, conteúdo e dinheiro</w:t>
      </w:r>
    </w:p>
    <w:p>
      <w:pPr>
        <w:ind w:left="144"/>
      </w:pPr>
      <w:r>
        <w:rPr>
          <w:b/>
          <w:color w:val="EA580C"/>
        </w:rPr>
        <w:t xml:space="preserve">07. </w:t>
      </w:r>
      <w:r>
        <w:t>Riscos jurídicos e lacunas</w:t>
      </w:r>
    </w:p>
    <w:p>
      <w:pPr>
        <w:ind w:left="144"/>
      </w:pPr>
      <w:r>
        <w:rPr>
          <w:b/>
          <w:color w:val="EA580C"/>
        </w:rPr>
        <w:t xml:space="preserve">08. </w:t>
      </w:r>
      <w:r>
        <w:t>Matriz risco → documento</w:t>
      </w:r>
    </w:p>
    <w:p>
      <w:pPr>
        <w:ind w:left="144"/>
      </w:pPr>
      <w:r>
        <w:rPr>
          <w:b/>
          <w:color w:val="EA580C"/>
        </w:rPr>
        <w:t xml:space="preserve">09. </w:t>
      </w:r>
      <w:r>
        <w:t>Decisões do fundador e próximos passos</w:t>
      </w:r>
    </w:p>
    <w:p>
      <w:pPr>
        <w:ind w:left="144"/>
      </w:pPr>
      <w:r>
        <w:rPr>
          <w:b/>
          <w:color w:val="EA580C"/>
        </w:rPr>
        <w:t xml:space="preserve">10. </w:t>
      </w:r>
      <w:r>
        <w:t>Fontes e validação jurídica</w:t>
      </w:r>
    </w:p>
    <w:p>
      <w:pPr/>
      <w:r>
        <w:t>O Word pode atualizar o sumário automático a partir dos títulos numerados quando o documento for aberto.</w:t>
      </w:r>
    </w:p>
    <w:p>
      <w:pPr>
        <w:pStyle w:val="Heading1"/>
      </w:pPr>
      <w:r>
        <w:t>1. Objetivo, escopo e método</w:t>
      </w:r>
    </w:p>
    <w:p>
      <w:r>
        <w:t>Este relatório é a etapa de descoberta do pacote jurídico-operacional da 77Gira. Ele não cria contratos: organiza o que pode ser afirmado com segurança a partir do repositório, o que veio da documentação e o que ainda precisa de decisão formal do fundador.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8243A"/>
              </w:rPr>
              <w:t xml:space="preserve">Escopo auditado. </w:t>
            </w:r>
            <w:r>
              <w:t>Documentação principal e de governança; modelo Prisma; rotas de API; rotas da aplicação; páginas e componentes de gestão; regras de autenticação, privacidade, operação, Ads, parceiros, cardápio, notificações, aquisição e trilhas de auditoria. A lista rastreável está em fontes_e_auditoria/.</w:t>
            </w:r>
          </w:p>
        </w:tc>
      </w:tr>
    </w:tbl>
    <w:p/>
    <w:p>
      <w:pPr>
        <w:pStyle w:val="Heading1"/>
      </w:pPr>
      <w:r>
        <w:t>2. Legenda de evidências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8"/>
              </w:rPr>
              <w:t>Classificação</w:t>
            </w:r>
          </w:p>
        </w:tc>
        <w:tc>
          <w:tcPr>
            <w:tcW w:type="dxa" w:w="7776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8"/>
              </w:rPr>
              <w:t>Uso no relatório e na futura contratação</w:t>
            </w:r>
          </w:p>
        </w:tc>
      </w:tr>
      <w:t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8"/>
              </w:rPr>
              <w:t>CONFIRMADO NO SISTEMA</w:t>
            </w:r>
          </w:p>
        </w:tc>
        <w:tc>
          <w:tcPr>
            <w:tcW w:type="dxa" w:w="77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8"/>
              </w:rPr>
              <w:t>Há modelo, rota, tela ou componente correspondente. Ainda exige revisão jurídica de efeitos e redação.</w:t>
            </w:r>
          </w:p>
        </w:tc>
      </w:tr>
      <w:t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8"/>
              </w:rPr>
              <w:t>ENCONTRADO EM DOCUMENTAÇÃO</w:t>
            </w:r>
          </w:p>
        </w:tc>
        <w:tc>
          <w:tcPr>
            <w:tcW w:type="dxa" w:w="77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8"/>
              </w:rPr>
              <w:t>A intenção ou regra está registrada, mas pode depender de confirmação de execução no código ou operação.</w:t>
            </w:r>
          </w:p>
        </w:tc>
      </w:tr>
      <w:t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8"/>
              </w:rPr>
              <w:t>INFERÊNCIA QUE EXIGE CONFIRMAÇÃO</w:t>
            </w:r>
          </w:p>
        </w:tc>
        <w:tc>
          <w:tcPr>
            <w:tcW w:type="dxa" w:w="77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8"/>
              </w:rPr>
              <w:t>Conclusão plausível a partir do produto; não pode virar promessa, obrigação ou cláusula final sem resposta do fundador.</w:t>
            </w:r>
          </w:p>
        </w:tc>
      </w:tr>
      <w:t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8"/>
              </w:rPr>
              <w:t>NÃO LOCALIZADO</w:t>
            </w:r>
          </w:p>
        </w:tc>
        <w:tc>
          <w:tcPr>
            <w:tcW w:type="dxa" w:w="77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8"/>
              </w:rPr>
              <w:t>Não foi encontrado na auditoria inicial. Deve ser definido ou excluído da documentação final.</w:t>
            </w:r>
          </w:p>
        </w:tc>
      </w:tr>
      <w:t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8"/>
              </w:rPr>
              <w:t>FUNCIONALIDADE FUTURA OU EXPERIMENTAL</w:t>
            </w:r>
          </w:p>
        </w:tc>
        <w:tc>
          <w:tcPr>
            <w:tcW w:type="dxa" w:w="77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8"/>
              </w:rPr>
              <w:t>Existe como mock, flag, planejamento ou implementação parcial. Não deve ser comercializada como capacidade definitiva.</w:t>
            </w:r>
          </w:p>
        </w:tc>
      </w:tr>
    </w:tbl>
    <w:p/>
    <w:p>
      <w:pPr>
        <w:pStyle w:val="Heading1"/>
      </w:pPr>
      <w:r>
        <w:t>3. Panorama operacional e relações jurídicas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728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5"/>
              </w:rPr>
              <w:t>Agente</w:t>
            </w:r>
          </w:p>
        </w:tc>
        <w:tc>
          <w:tcPr>
            <w:tcW w:type="dxa" w:w="3024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5"/>
              </w:rPr>
              <w:t>Relação identificada</w:t>
            </w:r>
          </w:p>
        </w:tc>
        <w:tc>
          <w:tcPr>
            <w:tcW w:type="dxa" w:w="2232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5"/>
              </w:rPr>
              <w:t>Evidência / status</w:t>
            </w:r>
          </w:p>
        </w:tc>
        <w:tc>
          <w:tcPr>
            <w:tcW w:type="dxa" w:w="3096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5"/>
              </w:rPr>
              <w:t>Implicação documental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Visitante e usuário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Acesso público e conta comum; preferências, Radar, Histórico, localização-base e direitos de dados.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CONFIRMADO NO SISTEMA / DOCUMENTAÇÃO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Termos, privacidade, cookies, notificações e regras de conteúdo.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Casa e gestor de casa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Gestão de local, eventos, cardápio e possíveis ativações comerciais.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CONFIRMADO NO SISTEMA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Adesão, publicação de eventos, cardápio, conteúdo e responsabilidade operacional.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Produtor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Acesso vinculado a casas e eventos; operação de programação.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CONFIRMADO NO SISTEMA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Adesão de produtor, poderes de representação e responsabilidade por dados enviados.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Artista e representante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Perfil profissional, reivindicação, equipe, mídia, EPK e pedidos de contratação.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CONFIRMADO NO SISTEMA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Reivindicação, verificação, licença de conteúdo e regras de equipe.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Anunciante, agência ou patrocinador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Solicitação, conta publicitária, campanha, criativo, revisão, inventário, crédito e métricas.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CONFIRMADO NO SISTEMA; pagamento real é FUTURO/EXPERIMENTAL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Contrato de Ads, ordem de inserção, política de criativos e não garantia de resultado.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Parceiro estratégico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Cadastro interno, possibilidade de exibição pública e régua institucional autorizada.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CONFIRMADO NO SISTEMA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Contrato de parceria, autorização de marca e comunicação institucional.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Equipe interna / Operações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Acesso com escopo, central de operações, auditoria, comunicações e privacidade.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CONFIRMADO NO SISTEMA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Acordos internos, confidencialidade, controles de acesso e procedimento decisório.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Fornecedor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Infraestrutura, armazenamento, e-mail, navegador/push e possíveis integrações.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ENCONTRADO EM DOCUMENTAÇÃO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Registro de operadores, DPA/segurança, SLA e avaliação de transferência de dados.</w:t>
            </w:r>
          </w:p>
        </w:tc>
      </w:tr>
    </w:tbl>
    <w:p/>
    <w:p>
      <w:pPr>
        <w:pStyle w:val="Heading1"/>
      </w:pPr>
      <w:r>
        <w:t>4. Funcionalidades e fluxos confirmados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728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4"/>
              </w:rPr>
              <w:t>Área</w:t>
            </w:r>
          </w:p>
        </w:tc>
        <w:tc>
          <w:tcPr>
            <w:tcW w:type="dxa" w:w="3960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4"/>
              </w:rPr>
              <w:t>O que foi identificado</w:t>
            </w:r>
          </w:p>
        </w:tc>
        <w:tc>
          <w:tcPr>
            <w:tcW w:type="dxa" w:w="2664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4"/>
              </w:rPr>
              <w:t>Fonte principal</w:t>
            </w:r>
          </w:p>
        </w:tc>
        <w:tc>
          <w:tcPr>
            <w:tcW w:type="dxa" w:w="2088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4"/>
              </w:rPr>
              <w:t>Classificação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Cadastro, autenticação e conta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Rotas de registro, login, refresh, logout, recuperação e redefinição de senha; perfil, avatar, localização-base, troca de senha e encerramento de sessões.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backend/src/routes/index.js; backend/prisma/schema.prisma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CONFIRMADO NO SISTEMA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Privacidade e exercício de direitos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Consentimentos, pedidos de privacidade, exportação, pedido de exclusão, prévia de retenção, decisões operacionais e AuditLog.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schema.prisma; rotas /me/privacy e /operations/privacy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CONFIRMADO NO SISTEMA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Eventos, casas e artistas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Modelos e rotas para casas, eventos, artistas, acesso de produtor/gestor, associação evento–artista e páginas públicas.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schema.prisma; App.jsx; routes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CONFIRMADO NO SISTEMA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Reivindicação e perfil profissional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ClaimRequest, reconhecimento de responsabilidade, status de análise, acesso de equipe, mídia, EPK e booking.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schema.prisma; ClaimLegalAcknowledgementModal.jsx; páginas artista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CONFIRMADO NO SISTEMA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Cardápio essencial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Cardápio por casa, itens, preço, status, arquivo/importação, interações, arquivamento e patrocínio de cardápio.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schema.prisma; routes /venues/:id/menu; VenueMenu pages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CONFIRMADO NO SISTEMA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Publicidade e métricas técnicas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Campanhas, criativos, slots, revisão, inventário, entrega, logs de Ads, eventos de impressão/clique e painel operacional.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schema.prisma; AdSlotCard.jsx; AdsAdminPage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CONFIRMADO NO SISTEMA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Comunicações operacionais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Rascunhos, modelos, envio individual, status, destinatário, autor e opção de régua de parceiros autorizados.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OperationCommunicationMessage; rotas operations/communications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CONFIRMADO NO SISTEMA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Parceiros estratégicos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Cadastro, status, tipo, uso de logo, autorização de exibição pública e institucional.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StrategicPartner; rotas operations/partners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CONFIRMADO NO SISTEMA</w:t>
            </w:r>
          </w:p>
        </w:tc>
      </w:tr>
      <w:tr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Localização e alertas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Cidade, bairro, CEP; sessões “Tô na Pista”; subscriptions push e lembretes de evento salvos.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schema.prisma; manual mestre; rotas /push e /to-na-pista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CONFIRMADO NO SISTEMA</w:t>
            </w:r>
          </w:p>
        </w:tc>
      </w:tr>
    </w:tbl>
    <w:p/>
    <w:p>
      <w:pPr>
        <w:pStyle w:val="Heading1"/>
      </w:pPr>
      <w:r>
        <w:t>5. Funcionalidades futuras, experimentais ou não localizadas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944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5"/>
              </w:rPr>
              <w:t>Tema</w:t>
            </w:r>
          </w:p>
        </w:tc>
        <w:tc>
          <w:tcPr>
            <w:tcW w:type="dxa" w:w="4104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5"/>
              </w:rPr>
              <w:t>Achado</w:t>
            </w:r>
          </w:p>
        </w:tc>
        <w:tc>
          <w:tcPr>
            <w:tcW w:type="dxa" w:w="2088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5"/>
              </w:rPr>
              <w:t>Classificação</w:t>
            </w:r>
          </w:p>
        </w:tc>
        <w:tc>
          <w:tcPr>
            <w:tcW w:type="dxa" w:w="2304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5"/>
              </w:rPr>
              <w:t>Cuidado contratual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Gateway e cobrança real de Ads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O fluxo de patacos/créditos possui provider e ordem de pagamento simulados. A documentação registra ausência de cobrança financeira real e de webhook.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FUNCIONALIDADE FUTURA OU EXPERIMENTAL</w:t>
            </w:r>
          </w:p>
        </w:tc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Não prometer compra, fatura, reembolso financeiro ou saldo conversível até validar gateway, fiscal e reconciliação.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Retenção e descarte automático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Existe prévia/dry-run de retenção; rotina automática não está habilitada.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ENCONTRADO EM DOCUMENTAÇÃO</w:t>
            </w:r>
          </w:p>
        </w:tc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Não afirmar prazos definitivos de descarte sem tabela aprovada e execução operacional.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Venda de ingressos e afiliação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Links externos são parte do produto; não foi confirmado um fluxo próprio de venda, custódia ou comissão.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NÃO LOCALIZADO</w:t>
            </w:r>
          </w:p>
        </w:tc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Definir se há tiqueteira, afiliação, comissão, suporte ou responsabilidade por reembolso.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Mensageria em massa e métricas de e-mail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Comunicações implementadas são individuais; mass send, agendamento e métricas de abertura/clique estão fora do escopo inicial.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FUNCIONALIDADE FUTURA OU EXPERIMENTAL</w:t>
            </w:r>
          </w:p>
        </w:tc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Não incluir obrigação de campanha ou relatório de e-mail sem produto e base legal.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WebAuthn em operações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Há modelos e rotas de credencial/desafio; uso operacional deve ser validado em dispositivo e política interna.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CONFIRMADO NO SISTEMA / EXIGE VALIDAÇÃO OPERACIONAL</w:t>
            </w:r>
          </w:p>
        </w:tc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Formalizar como controle adicional, sem garantir universalidade de biometria.</w:t>
            </w:r>
          </w:p>
        </w:tc>
      </w:tr>
    </w:tbl>
    <w:p/>
    <w:p>
      <w:pPr>
        <w:pStyle w:val="Heading1"/>
      </w:pPr>
      <w:r>
        <w:t>6. Mapa de dados, conteúdo e dinheiro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72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5"/>
              </w:rPr>
              <w:t>Fluxo</w:t>
            </w:r>
          </w:p>
        </w:tc>
        <w:tc>
          <w:tcPr>
            <w:tcW w:type="dxa" w:w="3528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5"/>
              </w:rPr>
              <w:t>Dados / ativos tratados</w:t>
            </w:r>
          </w:p>
        </w:tc>
        <w:tc>
          <w:tcPr>
            <w:tcW w:type="dxa" w:w="2376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5"/>
              </w:rPr>
              <w:t>Risco principal</w:t>
            </w:r>
          </w:p>
        </w:tc>
        <w:tc>
          <w:tcPr>
            <w:tcW w:type="dxa" w:w="2664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5"/>
              </w:rPr>
              <w:t>Documento futuro</w:t>
            </w:r>
          </w:p>
        </w:tc>
      </w:tr>
      <w:t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Conta e segurança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Nome, e-mail, senha hash, tokens/sessões, avatar e registros de acesso.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Acesso indevido, transparência, retenção e resposta a incidente.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Termos, privacidade, segurança, resposta a incidentes.</w:t>
            </w:r>
          </w:p>
        </w:tc>
      </w:tr>
      <w:t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Exploração e localização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Preferências, Radar, histórico, cidade/bairro/CEP, localização atual quando acionada, entrega de alertas.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Excesso de coleta, base legal e expectativa do usuário.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Privacidade, cookies/preferências, notificações.</w:t>
            </w:r>
          </w:p>
        </w:tc>
      </w:tr>
      <w:t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Perfil e evento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Nomes, cartazes, fotos, vídeos, agenda, dados de contato e links externos.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Direito de imagem, marca, autoria, informação desatualizada ou ilícita.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Adesão, licença de conteúdo, publicação/cancelamento.</w:t>
            </w:r>
          </w:p>
        </w:tc>
      </w:tr>
      <w:t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Reivindicação de perfil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Declaração, identificação, decisão, justificativa, equipe e histórico.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Fraude, representação indevida e remoção de conteúdo legítimo.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Termo de reivindicação, moderação e auditoria.</w:t>
            </w:r>
          </w:p>
        </w:tc>
      </w:tr>
      <w:t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Publicidade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Dados de anunciante, campanha, criativo, destino, delivery, impressão, clique, revisão, saldo simulado.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Publicidade enganosa, métricas, direitos de marca e pagamento futuro.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Contrato Ads, ordem de inserção, política publicitária.</w:t>
            </w:r>
          </w:p>
        </w:tc>
      </w:tr>
      <w:t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Cardápio patrocinado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Itens, preços, status, patrocinador e interação.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Endosso indevido, conflito comercial e publicidade identificável.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Termo de cardápio, publicidade e parceria.</w:t>
            </w:r>
          </w:p>
        </w:tc>
      </w:tr>
      <w:tr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Operações e comunicações</w:t>
            </w:r>
          </w:p>
        </w:tc>
        <w:tc>
          <w:tcPr>
            <w:tcW w:type="dxa" w:w="35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Solicitações, justificativas, auditoria, destinatários e conteúdo de e-mail.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Exposição excessiva, decisão sem fundamento e uso de dados sem necessidade.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5"/>
              </w:rPr>
              <w:t>DPA, política interna, comunicações e privacidade.</w:t>
            </w:r>
          </w:p>
        </w:tc>
      </w:tr>
    </w:tbl>
    <w:p/>
    <w:p>
      <w:pPr>
        <w:pStyle w:val="Heading1"/>
      </w:pPr>
      <w:r>
        <w:t>7. Riscos jurídicos e lacunas prioritárias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648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4"/>
              </w:rPr>
              <w:t>ID</w:t>
            </w:r>
          </w:p>
        </w:tc>
        <w:tc>
          <w:tcPr>
            <w:tcW w:type="dxa" w:w="2376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4"/>
              </w:rPr>
              <w:t>Risco / lacuna</w:t>
            </w:r>
          </w:p>
        </w:tc>
        <w:tc>
          <w:tcPr>
            <w:tcW w:type="dxa" w:w="5544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4"/>
              </w:rPr>
              <w:t>Síntese</w:t>
            </w:r>
          </w:p>
        </w:tc>
        <w:tc>
          <w:tcPr>
            <w:tcW w:type="dxa" w:w="1080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4"/>
              </w:rPr>
              <w:t>Prioridade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R1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Identificação jurídica incompleta da operadora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Não há razão social, CNPJ, endereço e canais legais confirmados nesta auditoria.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ALTO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R2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Papéis LGPD por fluxo e fornecedores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Necessário mapear controlador, operador, suboperador e transferências para cada fluxo.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ALTO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R3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Retenção sem cronograma automático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A prévia existe, mas a política executável de descarte ainda precisa de decisão.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ALTO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R4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Pagamento Ads ainda simulado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Não pode ser tratado como oferta financeira definitiva.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ALTO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R5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Ingressos, afiliados e reembolso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Não localizada definição contratual e operacional suficiente.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ALTO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R6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Direitos de cartazes, fotos e vídeos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Há upload e exibição; falta confirmar cadeia de licença e resposta a violação.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ALTO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R7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Representação em reivindicações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Há mitigação de interface; falta critério formal, prova e recurso.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ALTO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R8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Publicidade regulada e setores proibidos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Há orientação editorial, mas a política final precisa de lista, processo e exceções.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ALTO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R9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Métricas e divergências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Há tracking técnico; metodologia, janela e contestação precisam ser formalizadas.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MÉDIO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R10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Localização e alertas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Necessário explicitar gatilhos, precisão, consentimento e retenção.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MÉDIO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R11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Sessão e token de refresh no cliente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Limitação conhecida: refresh não está em cookie HttpOnly.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MÉDIO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R12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Moderação e recurso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Modelos e operações existem; prazos, evidência e notificação precisam ser definidos.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MÉDIO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R13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Relação consumidor x plataforma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Definir quando há consumo, cobrança ou mera intermediação.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MÉDIO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R14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Fornecedores e segurança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Registro existe como política; contratos/DPA e diligência devem ser completados.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MÉDIO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R15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Comunicações institucionais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Regras de base legal, opt-out e réguas de parceiros precisam de validação.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MÉDIO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R16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Exclusividade e conflito de marcas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A plataforma declara autonomia; exceções comerciais precisam de contrato específico.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MÉDIO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R17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Disponibilidade e terceiros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Dependência de infraestrutura e links externos requer delimitação de serviço.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MÉDIO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R18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Assinatura, prova de aceite e versionamento</w:t>
            </w:r>
          </w:p>
        </w:tc>
        <w:tc>
          <w:tcPr>
            <w:tcW w:type="dxa" w:w="55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Precisa de padrão operacional por tipo de documento.</w:t>
            </w:r>
          </w:p>
        </w:tc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ALTO</w:t>
            </w:r>
          </w:p>
        </w:tc>
      </w:tr>
    </w:tbl>
    <w:p/>
    <w:p>
      <w:pPr>
        <w:pStyle w:val="Heading1"/>
      </w:pPr>
      <w:r>
        <w:t>8. Matriz risco → documento a produzir depois da validação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792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4"/>
              </w:rPr>
              <w:t>Bloco</w:t>
            </w:r>
          </w:p>
        </w:tc>
        <w:tc>
          <w:tcPr>
            <w:tcW w:type="dxa" w:w="2952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4"/>
              </w:rPr>
              <w:t>Documento planejado</w:t>
            </w:r>
          </w:p>
        </w:tc>
        <w:tc>
          <w:tcPr>
            <w:tcW w:type="dxa" w:w="1944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4"/>
              </w:rPr>
              <w:t>Riscos</w:t>
            </w:r>
          </w:p>
        </w:tc>
        <w:tc>
          <w:tcPr>
            <w:tcW w:type="dxa" w:w="3960"/>
            <w:shd w:fill="EAF0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18243A"/>
                <w:sz w:val="14"/>
              </w:rPr>
              <w:t>Uso principal</w:t>
            </w:r>
          </w:p>
        </w:tc>
      </w:tr>
      <w:t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02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Termos de Uso gerais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R1, R13, R17, R18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Usuário, limites de plataforma, aceite e mudanças.</w:t>
            </w:r>
          </w:p>
        </w:tc>
      </w:tr>
      <w:t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03–04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Privacidade, dados e cookies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R2, R3, R10, R11, R15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LGPD, preferências, geolocalização, segurança e direitos.</w:t>
            </w:r>
          </w:p>
        </w:tc>
      </w:tr>
      <w:t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05–07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Adesão de casa, produtor e artista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R5, R6, R7, R12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Publicação, poderes, conteúdo, eventos, cancelamentos e EPK.</w:t>
            </w:r>
          </w:p>
        </w:tc>
      </w:tr>
      <w:t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08–10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Ads, ordem de inserção e publicidade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R4, R8, R9, R16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Anunciantes, criativos, revisão, métricas, setores e inventário.</w:t>
            </w:r>
          </w:p>
        </w:tc>
      </w:tr>
      <w:t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11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Publicidade/patrocínio em cardápios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R6, R8, R16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Separação comercial, identificação e autonomia da casa.</w:t>
            </w:r>
          </w:p>
        </w:tc>
      </w:tr>
      <w:t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12–16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Reivindicação, licença, eventos, links e moderação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R5, R6, R7, R12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Prova, licença, retirada, terceiros e defesa.</w:t>
            </w:r>
          </w:p>
        </w:tc>
      </w:tr>
      <w:t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17–19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Dados com parceiros, NDA e integração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R2, R14, R17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Fornecedores, confidencialidade, segurança e responsabilidade técnica.</w:t>
            </w:r>
          </w:p>
        </w:tc>
      </w:tr>
      <w:t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20–23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Pilotos, IP, matriz operacional e versionamento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R11, R17, R18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r>
              <w:rPr>
                <w:color w:val="18243A"/>
                <w:sz w:val="14"/>
              </w:rPr>
              <w:t>Experimentação, ativos, governança e prova de aceite.</w:t>
            </w:r>
          </w:p>
        </w:tc>
      </w:tr>
    </w:tbl>
    <w:p/>
    <w:p>
      <w:pPr>
        <w:pStyle w:val="Heading1"/>
      </w:pPr>
      <w:r>
        <w:t>9. Decisões do fundador antes da fase de minutas</w:t>
      </w:r>
    </w:p>
    <w:p>
      <w:pPr>
        <w:pStyle w:val="ListBullet"/>
      </w:pPr>
      <w:r>
        <w:t>Definir a pessoa jurídica/CPF responsável, dados cadastrais, marca, endereço, canal jurídico e canal LGPD.</w:t>
      </w:r>
    </w:p>
    <w:p>
      <w:pPr>
        <w:pStyle w:val="ListBullet"/>
      </w:pPr>
      <w:r>
        <w:t>Definir quais agentes podem publicar, alterar e cancelar eventos e quais evidências são exigidas.</w:t>
      </w:r>
    </w:p>
    <w:p>
      <w:pPr>
        <w:pStyle w:val="ListBullet"/>
      </w:pPr>
      <w:r>
        <w:t>Definir regra comercial de Ads antes de ativar cobrança real: preço, tributos, saldo, validade, reembolso, estorno, inadimplência e nota fiscal.</w:t>
      </w:r>
    </w:p>
    <w:p>
      <w:pPr>
        <w:pStyle w:val="ListBullet"/>
      </w:pPr>
      <w:r>
        <w:t>Definir se há participação em receita de ingressos, afiliação ou apenas redirecionamento externo.</w:t>
      </w:r>
    </w:p>
    <w:p>
      <w:pPr>
        <w:pStyle w:val="ListBullet"/>
      </w:pPr>
      <w:r>
        <w:t>Aprovar política de conteúdo: licença, responsabilidade por imagem/marca, notificação e retirada.</w:t>
      </w:r>
    </w:p>
    <w:p>
      <w:pPr>
        <w:pStyle w:val="ListBullet"/>
      </w:pPr>
      <w:r>
        <w:t>Aprovar critérios de reivindicação, verificação, recusa, recurso, moderação e suspensão.</w:t>
      </w:r>
    </w:p>
    <w:p>
      <w:pPr>
        <w:pStyle w:val="ListBullet"/>
      </w:pPr>
      <w:r>
        <w:t>Validar lista de setores publicitários proibidos/restritos e a regra expressa para bets.</w:t>
      </w:r>
    </w:p>
    <w:p>
      <w:pPr>
        <w:pStyle w:val="ListBullet"/>
      </w:pPr>
      <w:r>
        <w:t>Aprovar prazos de retenção, descarte, backup, resposta a direitos e incidente.</w:t>
      </w:r>
    </w:p>
    <w:p>
      <w:pPr>
        <w:pStyle w:val="ListBullet"/>
      </w:pPr>
      <w:r>
        <w:t>Definir foro, tentativa de composição/mediação, assinatura eletrônica e forma de prova de aceite.</w:t>
      </w:r>
    </w:p>
    <w:p>
      <w:pPr>
        <w:pStyle w:val="Heading1"/>
      </w:pPr>
      <w:r>
        <w:t>10. Fontes legais e validação jurídica</w:t>
      </w:r>
    </w:p>
    <w:p>
      <w:r>
        <w:t>Referências oficiais consultadas para orientar a agenda de revisão, sem transposição automática de artigos ou conclusões jurídicas: Lei Geral de Proteção de Dados — Lei nº 13.709/2018; Marco Civil da Internet — Lei nº 12.965/2014; Código de Defesa do Consumidor — Lei nº 8.078/1990; e Código Brasileiro de Autorregulamentação Publicitária do CONAR. A redação, a vigência e a pertinência de cada fundamento devem ser confirmadas por advogado.</w:t>
      </w:r>
    </w:p>
    <w:p>
      <w:r>
        <w:rPr>
          <w:b/>
          <w:color w:val="B91C1C"/>
          <w:highlight w:val="yellow"/>
        </w:rPr>
        <w:t>[VALIDAR COM ADVOGADO: bases legais, controlador/operador, cláusulas consumeristas, publicidade regulada, assinatura eletrônica, foro, retenção, responsabilidade civil e propriedade intelectual.]</w:t>
      </w:r>
    </w:p>
    <w:p>
      <w:pPr>
        <w:pStyle w:val="Heading1"/>
      </w:pPr>
      <w:r>
        <w:t>11. Conclusão de descoberta</w:t>
      </w:r>
    </w:p>
    <w:p>
      <w:r>
        <w:t>A 77Gira já possui uma base relevante de controles, papéis, auditoria, privacidade, operação, conteúdo, publicidade e integrações. O principal risco jurídico não é ausência de produto, mas transformar comportamentos ainda simulados, documentados ou dependentes de decisão em promessas contratuais. A fase segura é responder o Documento 01 e, então, redigir as minutas em ordem de prioridade, com revisão jurídica externa antes de vigência.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77Gira • MINUTA PARA REVISÃO JURÍDICA • versão 0.1 • 31 de julho de 2026  |  </w:t>
    </w: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475569"/>
        <w:sz w:val="16"/>
      </w:rPr>
      <w:t>77Gira  |  Jurídico-operacional  | 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ptos" w:hAnsi="Aptos" w:eastAsia="Aptos"/>
      <w:color w:val="1824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824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824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563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8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