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Termo de Tratamento de Dados e Fornecedores</w:t>
      </w:r>
    </w:p>
    <w:p>
      <w:pPr>
        <w:pStyle w:val="Subtitle"/>
      </w:pPr>
      <w:r>
        <w:t>Minuta-base para governança de operadores, transferências internacionais e segurança.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Status</w:t>
              <w:br/>
              <w:t>Minuta com campos de complementação</w:t>
            </w:r>
          </w:p>
        </w:tc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Versão</w:t>
              <w:br/>
              <w:t>1.0</w:t>
            </w:r>
          </w:p>
        </w:tc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Operador</w:t>
              <w:br/>
              <w:t>77 Giramundo Serviços de Comunicação e Publicidade | CNPJ 77.777.777/0001-77</w:t>
            </w:r>
          </w:p>
        </w:tc>
        <w:tc>
          <w:tcPr>
            <w:tcW w:type="dxa" w:w="2520"/>
            <w:shd w:fill="F4F7FB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vAlign w:val="center"/>
          </w:tcPr>
          <w:p>
            <w:r/>
            <w:r>
              <w:rPr>
                <w:b w:val="0"/>
                <w:color w:val="43536A"/>
                <w:sz w:val="16"/>
              </w:rPr>
              <w:t>Canal jurídico</w:t>
              <w:br/>
              <w:t>77giramundo@gmail.com | validar canal formal LGPD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E8"/>
            <w:tcBorders>
              <w:top w:val="single" w:sz="6" w:color="F4C57B"/>
              <w:left w:val="single" w:sz="6" w:color="F4C57B"/>
              <w:bottom w:val="single" w:sz="6" w:color="F4C57B"/>
              <w:right w:val="single" w:sz="6" w:color="F4C57B"/>
            </w:tcBorders>
            <w:vAlign w:val="center"/>
          </w:tcPr>
          <w:p>
            <w:r/>
            <w:r>
              <w:rPr>
                <w:b/>
                <w:color w:val="7A4D00"/>
                <w:sz w:val="18"/>
              </w:rPr>
              <w:t>AVISO DE REVISÃO</w:t>
              <w:br/>
              <w:t>Esta minuta consolida a operação atual do 77Gira. Não deve ser publicada ou assinada sem revisão por advogado(a), preenchimento dos campos pendentes e validação comercial/tributária.</w:t>
            </w:r>
          </w:p>
        </w:tc>
      </w:tr>
    </w:tbl>
    <w:p/>
    <w:p>
      <w:pPr>
        <w:pStyle w:val="Heading1"/>
      </w:pPr>
      <w:r>
        <w:t>1. Papéis e instruções</w:t>
      </w:r>
    </w:p>
    <w:p>
      <w:r>
        <w:t>Controlador, operadores, corresponsáveis e encarregado/DPO devem ser definidos por fluxo e fornecedor: [DEFINIR: controlador, operador, eventual Encarregado/DPO e responsabilidades de cada fornecedor]. O fornecedor trata dados somente conforme instruções documentadas, contrato, termos aplicáveis e lei.</w:t>
      </w:r>
    </w:p>
    <w:p>
      <w:pPr>
        <w:pStyle w:val="Heading1"/>
      </w:pPr>
      <w:r>
        <w:t>2. Fornecedores atuais</w:t>
      </w:r>
    </w:p>
    <w:p>
      <w:pPr>
        <w:pStyle w:val="ListBullet"/>
      </w:pPr>
      <w:r>
        <w:t>Vercel: hospedagem/frontend;</w:t>
      </w:r>
    </w:p>
    <w:p>
      <w:pPr>
        <w:pStyle w:val="ListBullet"/>
      </w:pPr>
      <w:r>
        <w:t>Render/PostgreSQL: backend e banco;</w:t>
      </w:r>
    </w:p>
    <w:p>
      <w:pPr>
        <w:pStyle w:val="ListBullet"/>
      </w:pPr>
      <w:r>
        <w:t>Cloudflare/R2: DNS, rede, CDN e armazenamento de mídia;</w:t>
      </w:r>
    </w:p>
    <w:p>
      <w:pPr>
        <w:pStyle w:val="ListBullet"/>
      </w:pPr>
      <w:r>
        <w:t>Brevo: e-mail transacional;</w:t>
      </w:r>
    </w:p>
    <w:p>
      <w:pPr>
        <w:pStyle w:val="ListBullet"/>
      </w:pPr>
      <w:r>
        <w:t>GitHub: repositório e desenvolvimento;</w:t>
      </w:r>
    </w:p>
    <w:p>
      <w:pPr>
        <w:pStyle w:val="ListBullet"/>
      </w:pPr>
      <w:r>
        <w:t>Push Web: infraestrutura nativa de navegadores;</w:t>
      </w:r>
    </w:p>
    <w:p>
      <w:pPr>
        <w:pStyle w:val="ListBullet"/>
      </w:pPr>
      <w:r>
        <w:t>Mercado Pago: futuro gateway de pagamentos, quando ativado.</w:t>
      </w:r>
    </w:p>
    <w:p>
      <w:pPr>
        <w:pStyle w:val="Heading1"/>
      </w:pPr>
      <w:r>
        <w:t>3. Segurança e acessos</w:t>
      </w:r>
    </w:p>
    <w:p>
      <w:r>
        <w:t>Devem existir controles de acesso por função, segredos em variáveis protegidas, rotação/revogação de chaves, autenticação reforçada em sistemas críticos, logs e revisão de permissões. Política de backup, restauração e periodicidade: [DEFINIR: frequência de backup, retenção, responsáveis, testes de restauração e objetivos RPO/RTO].</w:t>
      </w:r>
    </w:p>
    <w:p>
      <w:pPr>
        <w:pStyle w:val="Heading1"/>
      </w:pPr>
      <w:r>
        <w:t>4. Suboperadores, internacional e incidente</w:t>
      </w:r>
    </w:p>
    <w:p>
      <w:r>
        <w:t>Transferências internacionais podem ocorrer conforme infraestrutura dos provedores. O fornecedor deve comunicar incidentes sem demora injustificada, colaborar na investigação e preservar evidências. Prazos, contatos e plano de resposta: [DEFINIR: países/regiões aplicáveis, contato de incidentes, prazo de notificação e plano de resposta].</w:t>
      </w:r>
    </w:p>
    <w:p>
      <w:pPr>
        <w:pStyle w:val="Heading1"/>
      </w:pPr>
      <w:r>
        <w:t>5. Retenção e término</w:t>
      </w:r>
    </w:p>
    <w:p>
      <w:r>
        <w:t>Ao término, dados devem ser devolvidos ou eliminados conforme instruções, exceto retenção legal, segurança, backup ou defesa de direitos. Prazos e comprovação: [DEFINIR: prazo de devolução/eliminação, exceções por backup ou obrigação legal e forma de comprovação].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D"/>
        <w:sz w:val="16"/>
      </w:rPr>
      <w:t xml:space="preserve">MINUTA PARA REVISÃO JURÍDICA — versão 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E65D21"/>
        <w:sz w:val="16"/>
      </w:rPr>
      <w:t>77GIRA  |  JURÍDICO — 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2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85D2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223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