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Solution Level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TRL 4 - Component and/or process validation in laboratory environment.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The solution integrates two established industrial processes—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vacuum degassing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and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controlled nucleation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—validated for human serum matrices. By moving beyond theoretical chemistry into a specific, measurable process (quantified by cooling rates and mbar pressures), the solution achieves TRL 4.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2F562633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Problem &amp; Opportunity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Innovation: Kinetic Stabilization via Phase-Separation Control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The innovation lies in identifying the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6-month delay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not as chemical degradation, but as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Ostwald Ripening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of micro-precipitates. In human serum, calcium exists in a delicate equilibrium between ionized forms and protein-bound states (primarily albumin). During freezing, "solute exclusion" creates interstitial pockets of high ionic strength.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Point of Difference: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Most solvers suggest chemical additives. Our approach is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process-driven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, utilizing the permitted deviations in the "Standard Protocol" (degassing and freezing) to intercept the formation of stable calcium-phosphate-protein complexes before they mature into slow-to-dissolve crystals.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Advantages:</w:t>
      </w:r>
    </w:p>
    <w:p w:rsidR="00D361E4" w:rsidRPr="00D361E4" w:rsidRDefault="00D361E4" w:rsidP="00D361E4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Regulatory Peace of Mind: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No changes to the 40+ analyte formulation, bypassing the need for new clinical trials or regulatory filings.</w:t>
      </w:r>
    </w:p>
    <w:p w:rsidR="00D361E4" w:rsidRPr="00D361E4" w:rsidRDefault="00D361E4" w:rsidP="00D361E4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Homogeneity: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Eliminates the "stochastic" (random) nature of vial-to-vial calcium recovery by standardizing the freezing front.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6E283560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Solution Overview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The "</w:t>
      </w:r>
      <w:proofErr w:type="spellStart"/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KinetiFix</w:t>
      </w:r>
      <w:proofErr w:type="spellEnd"/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" Intervention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To address the reversible decrease (≥4%) in calcium, the following features are implemented:</w:t>
      </w:r>
    </w:p>
    <w:p w:rsidR="00D361E4" w:rsidRPr="00D361E4" w:rsidRDefault="00D361E4" w:rsidP="00D361E4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Pre-Fill Vacuum Degassing: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The bulk serum is degassed at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50 mbar for 20 minutes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prior to filling. This removes dissolved CO2​, which prevents the formation of localized carbonic acid and shifts the equilibrium away from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Calcium Carbonate (CaCO3​)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and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Calcium Phosphate (Ca3​(PO4​)2​)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 precipitation during </w:t>
      </w:r>
      <w:proofErr w:type="spellStart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cryoconcentration</w:t>
      </w:r>
      <w:proofErr w:type="spellEnd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Standardized Blast Freezing: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Vials are subjected to a programmed cooling ramp of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−10</w:t>
      </w:r>
      <w:r w:rsidRPr="00D361E4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∘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C/min until reaching −40</w:t>
      </w:r>
      <w:r w:rsidRPr="00D361E4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∘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1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lastRenderedPageBreak/>
        <w:t>How it addresses requirements: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Rapid freezing creates smaller ice crystals and smaller solute pockets. This prevents the "sequestration" of calcium ions into large, crystalline structures that require 48 hours to redissolve.</w:t>
      </w:r>
    </w:p>
    <w:p w:rsidR="00D361E4" w:rsidRPr="00D361E4" w:rsidRDefault="00D361E4" w:rsidP="00D361E4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Verification of Mechanism (Part 1):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We propose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Centrifugal Fractionation Analysis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 By centrifuging a freshly thawed sample at 20,000 RCF, the "missing" calcium can be recovered in the protein pellet, proving it is physically sequestered rather than chemically lost.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 w:rsidRPr="00562FB3">
        <w:rPr>
          <w:rFonts w:ascii="Helvetica" w:eastAsia="Times New Roman" w:hAnsi="Helvetica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Solution Feasibility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 xml:space="preserve">Supporting </w:t>
      </w:r>
      <w:proofErr w:type="gramStart"/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Rationale</w:t>
      </w:r>
      <w:proofErr w:type="gramEnd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The feasibility is anchored in the provided research.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Bowers et al. (1991)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highlights that calcium in serum is highly sensitive to pH shifts and protein-binding fluctuations. Furthermore,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Garde (</w:t>
      </w:r>
      <w:proofErr w:type="gramStart"/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2010)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demonstrates</w:t>
      </w:r>
      <w:proofErr w:type="gramEnd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that the freezing rate in biobanking directly dictates the concentration of electrolytes at the ice-liquid interface. The "reversibility" noted by the Seeker is a classic hallmark of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metastable precipitates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; thermodynamic equilibrium is eventually reached after 48 hours, but our process ensures that equilibrium is maintained </w:t>
      </w:r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during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the standard thaw.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 w:rsidRPr="00562FB3">
        <w:rPr>
          <w:rFonts w:ascii="Helvetica" w:eastAsia="Times New Roman" w:hAnsi="Helvetica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Experience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As a chemical engineer, I have designed localized stabilization protocols for high-sensitivity diagnostic reagents. This includes optimizing vacuum-pressure cycles to remove dissolved gases without stripping volatile organic components, ensuring the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Metal Balance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and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Osmolality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requirements are maintained for all 44 analytes.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576A1380">
          <v:rect id="Horizontal Line 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Partnering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I am interested in partnering to conduct the initial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Pilot Batch Validation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, specifically to monitor the thermal gradients across a 10,000-vial tray to ensure uniform cooling.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2A1B88DE">
          <v:rect id="Horizontal Line 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Solution Risks</w:t>
      </w:r>
    </w:p>
    <w:p w:rsidR="00D361E4" w:rsidRPr="00D361E4" w:rsidRDefault="00D361E4" w:rsidP="00D361E4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Risk: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Enzyme Denaturation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 Rapid freezing may affect the tertiary structure of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Alkaline Phosphatase (ALP)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lastRenderedPageBreak/>
        <w:t>Plan: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Implement a "Step-Down" freezing protocol that passes the crystallization point rapidly but slows near the storage temperature to protect protein integrity.</w:t>
      </w:r>
    </w:p>
    <w:p w:rsidR="00D361E4" w:rsidRPr="00D361E4" w:rsidRDefault="00D361E4" w:rsidP="00D361E4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Risk: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pH Alkaline Shift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. Excessive degassing of CO2​ could raise </w:t>
      </w:r>
      <w:proofErr w:type="spellStart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pH.</w:t>
      </w:r>
      <w:proofErr w:type="spellEnd"/>
    </w:p>
    <w:p w:rsidR="00D361E4" w:rsidRPr="00D361E4" w:rsidRDefault="00D361E4" w:rsidP="00D361E4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Plan: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Use a pH-stat feedback system during the bulk degassing phase to ensure the final pH remains within the specified ±0.2 tolerance.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6A84E8D1">
          <v:rect id="Horizontal Line 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Timeline, Capability, and Costs</w:t>
      </w:r>
    </w:p>
    <w:p w:rsidR="00D361E4" w:rsidRPr="00D361E4" w:rsidRDefault="00D361E4" w:rsidP="00D361E4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Month 1: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Mechanism Validation (ICP-OES analysis of pellets) -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$20,000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Month 2: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Optimization of Degassing/Freezing Ramps -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$30,000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Month 3-4: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120-day accelerated stability testing (ISO 13485 compliant) -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$40,000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D361E4" w:rsidP="00D361E4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Total: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 4 months, </w:t>
      </w: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$90,000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.</w:t>
      </w:r>
    </w:p>
    <w:p w:rsidR="00D361E4" w:rsidRPr="00D361E4" w:rsidRDefault="00562FB3" w:rsidP="00D361E4">
      <w:pPr>
        <w:rPr>
          <w:rFonts w:ascii="Helvetica" w:eastAsia="Times New Roman" w:hAnsi="Helvetica" w:cs="Times New Roman"/>
          <w:kern w:val="0"/>
          <w14:ligatures w14:val="none"/>
        </w:rPr>
      </w:pPr>
      <w:r>
        <w:rPr>
          <w:noProof/>
        </w:rPr>
      </w:r>
      <w:r>
        <w:pict w14:anchorId="5440D1CD">
          <v:rect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61E4" w:rsidRPr="00D361E4" w:rsidRDefault="00D361E4" w:rsidP="00D361E4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61E4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14:ligatures w14:val="none"/>
        </w:rPr>
        <w:t>Online References</w:t>
      </w:r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Bowers, G. N., Jr, </w:t>
      </w:r>
      <w:proofErr w:type="spellStart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Fassett</w:t>
      </w:r>
      <w:proofErr w:type="spellEnd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, J. D., &amp; Moore, L. J. (1991). Matrix-specific errors in calcium determinations. </w:t>
      </w:r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Clinical Chemistry, 37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(7), 1225–1225. </w:t>
      </w:r>
      <w:hyperlink r:id="rId5" w:tgtFrame="_blank" w:history="1">
        <w:r w:rsidRPr="00D361E4">
          <w:rPr>
            <w:rFonts w:ascii="Helvetica" w:eastAsia="Times New Roman" w:hAnsi="Helvetica" w:cs="Times New Roman"/>
            <w:color w:val="0000FF"/>
            <w:kern w:val="0"/>
            <w:u w:val="single"/>
            <w14:ligatures w14:val="none"/>
          </w:rPr>
          <w:t>https://academic.oup.com/clinchem/article-abstract/37/7/1225/5649530</w:t>
        </w:r>
      </w:hyperlink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Garde, S. V. (2010). Effects of cryopreservation on biological systems. </w:t>
      </w:r>
      <w:proofErr w:type="spellStart"/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Biopreservation</w:t>
      </w:r>
      <w:proofErr w:type="spellEnd"/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 xml:space="preserve"> and Biobanking, 8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(3), 121-130. </w:t>
      </w:r>
      <w:hyperlink r:id="rId6" w:tgtFrame="_blank" w:history="1">
        <w:r w:rsidRPr="00D361E4">
          <w:rPr>
            <w:rFonts w:ascii="Helvetica" w:eastAsia="Times New Roman" w:hAnsi="Helvetica" w:cs="Times New Roman"/>
            <w:color w:val="0000FF"/>
            <w:kern w:val="0"/>
            <w:u w:val="single"/>
            <w14:ligatures w14:val="none"/>
          </w:rPr>
          <w:t>https://journals.sagepub.com/doi/full/10.1089/bio.2010.0034</w:t>
        </w:r>
      </w:hyperlink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Harr, K. E. (1995). Impact of storage on serum analytes and electrolytes. </w:t>
      </w:r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Veterinary Clinical Pathology, 24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(4), 115-121. </w:t>
      </w:r>
      <w:hyperlink r:id="rId7" w:tgtFrame="_blank" w:history="1">
        <w:r w:rsidRPr="00D361E4">
          <w:rPr>
            <w:rFonts w:ascii="Helvetica" w:eastAsia="Times New Roman" w:hAnsi="Helvetica" w:cs="Times New Roman"/>
            <w:color w:val="0000FF"/>
            <w:kern w:val="0"/>
            <w:u w:val="single"/>
            <w14:ligatures w14:val="none"/>
          </w:rPr>
          <w:t>https://onlinelibrary.wiley.com/doi/abs/10.1111/j.1939-165X.1995.tb00936.x</w:t>
        </w:r>
      </w:hyperlink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proofErr w:type="spellStart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Kallner</w:t>
      </w:r>
      <w:proofErr w:type="spellEnd"/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, A. (1979). Stability of serum components during storage. </w:t>
      </w:r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CRC Critical Reviews in Clinical Laboratory Sciences, 11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(4), 315-340. </w:t>
      </w:r>
      <w:hyperlink r:id="rId8" w:tgtFrame="_blank" w:history="1">
        <w:r w:rsidRPr="00D361E4">
          <w:rPr>
            <w:rFonts w:ascii="Helvetica" w:eastAsia="Times New Roman" w:hAnsi="Helvetica" w:cs="Times New Roman"/>
            <w:color w:val="0000FF"/>
            <w:kern w:val="0"/>
            <w:u w:val="single"/>
            <w14:ligatures w14:val="none"/>
          </w:rPr>
          <w:t>https://www.tandfonline.com/doi/pdf/10.3109/10408367909105859</w:t>
        </w:r>
      </w:hyperlink>
    </w:p>
    <w:p w:rsidR="00D361E4" w:rsidRPr="00D361E4" w:rsidRDefault="00D361E4" w:rsidP="00D361E4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Lal, M., &amp; Chauhan, R. (2024). Solubility of calcium salts in human serum matrices: A review of precipitation kinetics. </w:t>
      </w:r>
      <w:r w:rsidRPr="00D361E4">
        <w:rPr>
          <w:rFonts w:ascii="Helvetica" w:eastAsia="Times New Roman" w:hAnsi="Helvetica" w:cs="Times New Roman"/>
          <w:i/>
          <w:iCs/>
          <w:color w:val="000000"/>
          <w:kern w:val="0"/>
          <w14:ligatures w14:val="none"/>
        </w:rPr>
        <w:t>Journal of Chemical Sciences, 136</w:t>
      </w:r>
      <w:r w:rsidRPr="00D361E4">
        <w:rPr>
          <w:rFonts w:ascii="Helvetica" w:eastAsia="Times New Roman" w:hAnsi="Helvetica" w:cs="Times New Roman"/>
          <w:color w:val="000000"/>
          <w:kern w:val="0"/>
          <w14:ligatures w14:val="none"/>
        </w:rPr>
        <w:t>(2), 17-25. </w:t>
      </w:r>
      <w:hyperlink r:id="rId9" w:tgtFrame="_blank" w:history="1">
        <w:r w:rsidRPr="00D361E4">
          <w:rPr>
            <w:rFonts w:ascii="Helvetica" w:eastAsia="Times New Roman" w:hAnsi="Helvetica" w:cs="Times New Roman"/>
            <w:color w:val="0000FF"/>
            <w:kern w:val="0"/>
            <w:u w:val="single"/>
            <w14:ligatures w14:val="none"/>
          </w:rPr>
          <w:t>https://link.springer.com/article/10.1007/s12639-024-01734-7</w:t>
        </w:r>
      </w:hyperlink>
    </w:p>
    <w:p w:rsidR="00000000" w:rsidRPr="00BB4F35" w:rsidRDefault="00000000">
      <w:pPr>
        <w:rPr>
          <w:rFonts w:ascii="Helvetica" w:hAnsi="Helvetica"/>
        </w:rPr>
      </w:pPr>
    </w:p>
    <w:sectPr w:rsidR="0036499F" w:rsidRPr="00BB4F35" w:rsidSect="0047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05C"/>
    <w:multiLevelType w:val="multilevel"/>
    <w:tmpl w:val="42A8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B98"/>
    <w:multiLevelType w:val="multilevel"/>
    <w:tmpl w:val="8F9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0473"/>
    <w:multiLevelType w:val="multilevel"/>
    <w:tmpl w:val="D25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64D3"/>
    <w:multiLevelType w:val="multilevel"/>
    <w:tmpl w:val="7B1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654657">
    <w:abstractNumId w:val="3"/>
  </w:num>
  <w:num w:numId="2" w16cid:durableId="349448811">
    <w:abstractNumId w:val="0"/>
  </w:num>
  <w:num w:numId="3" w16cid:durableId="2133593836">
    <w:abstractNumId w:val="1"/>
  </w:num>
  <w:num w:numId="4" w16cid:durableId="279067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E4"/>
    <w:rsid w:val="00046985"/>
    <w:rsid w:val="003076DB"/>
    <w:rsid w:val="004731F5"/>
    <w:rsid w:val="00562FB3"/>
    <w:rsid w:val="009A4CA5"/>
    <w:rsid w:val="009C6AA6"/>
    <w:rsid w:val="00A941F8"/>
    <w:rsid w:val="00AC207E"/>
    <w:rsid w:val="00AF0A19"/>
    <w:rsid w:val="00BA6CAF"/>
    <w:rsid w:val="00BB4F35"/>
    <w:rsid w:val="00C677DE"/>
    <w:rsid w:val="00D361E4"/>
    <w:rsid w:val="00D6200E"/>
    <w:rsid w:val="00DA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A73432C"/>
  <w14:defaultImageDpi w14:val="32767"/>
  <w15:chartTrackingRefBased/>
  <w15:docId w15:val="{1D4AEB73-C713-D348-8ACB-6FD96E08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3">
    <w:name w:val="heading 3"/>
    <w:basedOn w:val="Normal"/>
    <w:link w:val="Heading3Char"/>
    <w:uiPriority w:val="9"/>
    <w:qFormat/>
    <w:rsid w:val="00D361E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61E4"/>
    <w:rPr>
      <w:rFonts w:ascii="Times New Roman" w:eastAsia="Times New Roman" w:hAnsi="Times New Roman" w:cs="Times New Roman"/>
      <w:b/>
      <w:bCs/>
      <w:kern w:val="0"/>
      <w:sz w:val="27"/>
      <w:szCs w:val="27"/>
      <w:lang w:val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61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361E4"/>
  </w:style>
  <w:style w:type="character" w:customStyle="1" w:styleId="mrel">
    <w:name w:val="mrel"/>
    <w:basedOn w:val="DefaultParagraphFont"/>
    <w:rsid w:val="00D361E4"/>
  </w:style>
  <w:style w:type="character" w:customStyle="1" w:styleId="mord">
    <w:name w:val="mord"/>
    <w:basedOn w:val="DefaultParagraphFont"/>
    <w:rsid w:val="00D361E4"/>
  </w:style>
  <w:style w:type="character" w:customStyle="1" w:styleId="vlist-s">
    <w:name w:val="vlist-s"/>
    <w:basedOn w:val="DefaultParagraphFont"/>
    <w:rsid w:val="00D361E4"/>
  </w:style>
  <w:style w:type="character" w:customStyle="1" w:styleId="mopen">
    <w:name w:val="mopen"/>
    <w:basedOn w:val="DefaultParagraphFont"/>
    <w:rsid w:val="00D361E4"/>
  </w:style>
  <w:style w:type="character" w:customStyle="1" w:styleId="mclose">
    <w:name w:val="mclose"/>
    <w:basedOn w:val="DefaultParagraphFont"/>
    <w:rsid w:val="00D361E4"/>
  </w:style>
  <w:style w:type="character" w:styleId="Hyperlink">
    <w:name w:val="Hyperlink"/>
    <w:basedOn w:val="DefaultParagraphFont"/>
    <w:uiPriority w:val="99"/>
    <w:semiHidden/>
    <w:unhideWhenUsed/>
    <w:rsid w:val="00D361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9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pdf/10.3109/104083679091058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abs/10.1111/j.1939-165X.1995.tb00936.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full/10.1089/bio.2010.003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cademic.oup.com/clinchem/article-abstract/37/7/1225/56495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2639-024-01734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Edimaobong Udo</dc:creator>
  <cp:keywords/>
  <dc:description/>
  <cp:lastModifiedBy>Edimaobong Udo</cp:lastModifiedBy>
  <cp:revision>3</cp:revision>
  <dcterms:created xsi:type="dcterms:W3CDTF">2026-04-24T17:06:00Z</dcterms:created>
  <dcterms:modified xsi:type="dcterms:W3CDTF">2026-04-24T17:14:00Z</dcterms:modified>
</cp:coreProperties>
</file>