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0CCC" w:rsidRPr="00940CCC" w:rsidRDefault="00940CCC" w:rsidP="00940CCC">
      <w:pPr>
        <w:rPr>
          <w:rFonts w:ascii="Helvetica" w:hAnsi="Helvetica"/>
        </w:rPr>
      </w:pPr>
      <w:r w:rsidRPr="00940CCC">
        <w:rPr>
          <w:rFonts w:ascii="Helvetica" w:hAnsi="Helvetica"/>
        </w:rPr>
        <w:t>persona: chemical engineer</w:t>
      </w:r>
    </w:p>
    <w:p w:rsidR="00940CCC" w:rsidRPr="00940CCC" w:rsidRDefault="00940CCC" w:rsidP="00940CCC">
      <w:pPr>
        <w:rPr>
          <w:rFonts w:ascii="Helvetica" w:hAnsi="Helvetica"/>
        </w:rPr>
      </w:pPr>
    </w:p>
    <w:p w:rsidR="00940CCC" w:rsidRPr="00940CCC" w:rsidRDefault="00940CCC" w:rsidP="00940CCC">
      <w:pPr>
        <w:rPr>
          <w:rFonts w:ascii="Helvetica" w:hAnsi="Helvetica"/>
          <w:b/>
          <w:bCs/>
        </w:rPr>
      </w:pPr>
      <w:r w:rsidRPr="00940CCC">
        <w:rPr>
          <w:rFonts w:ascii="Helvetica" w:hAnsi="Helvetica"/>
          <w:b/>
          <w:bCs/>
        </w:rPr>
        <w:t>O</w:t>
      </w:r>
      <w:r w:rsidRPr="00940CCC">
        <w:rPr>
          <w:rFonts w:ascii="Helvetica" w:hAnsi="Helvetica"/>
          <w:b/>
          <w:bCs/>
        </w:rPr>
        <w:t>verview</w:t>
      </w:r>
    </w:p>
    <w:p w:rsidR="00940CCC" w:rsidRPr="00940CCC" w:rsidRDefault="00940CCC" w:rsidP="00940CCC">
      <w:pPr>
        <w:rPr>
          <w:rFonts w:ascii="Helvetica" w:hAnsi="Helvetica"/>
        </w:rPr>
      </w:pPr>
      <w:r w:rsidRPr="00940CCC">
        <w:rPr>
          <w:rFonts w:ascii="Helvetica" w:hAnsi="Helvetica"/>
        </w:rPr>
        <w:t>The challenge is looking for root causes and mechanisms of reversible post-thaw decrease in calcium concentration in a ready-to-use, liquid, human-serum-based quality control (QC) standard for laboratory testing, and interventions to neutralize this observed decrease in calcium concentration post-thaw.</w:t>
      </w:r>
    </w:p>
    <w:p w:rsidR="00940CCC" w:rsidRPr="00940CCC" w:rsidRDefault="00940CCC" w:rsidP="00940CCC">
      <w:pPr>
        <w:rPr>
          <w:rFonts w:ascii="Helvetica" w:hAnsi="Helvetica"/>
        </w:rPr>
      </w:pPr>
    </w:p>
    <w:p w:rsidR="00940CCC" w:rsidRPr="00940CCC" w:rsidRDefault="00940CCC" w:rsidP="00940CCC">
      <w:pPr>
        <w:rPr>
          <w:rFonts w:ascii="Helvetica" w:hAnsi="Helvetica"/>
        </w:rPr>
      </w:pPr>
      <w:r w:rsidRPr="00940CCC">
        <w:rPr>
          <w:rFonts w:ascii="Helvetica" w:hAnsi="Helvetica"/>
        </w:rPr>
        <w:t>Clinical labs routinely use quality control (QC) standards to verify the ongoing performance and precision of automated analyzers performing routine laboratory testing. In some samples of a QC standard manufactured by the Seeker, the Seeker noticed a decrease in post-thaw calcium concentration: in a freshly thawed sample, the effective concentration of calcium is lower than the added amount. The decrease, which is batch-to-batch and vial-to-vial dependent, is also reversible with additional mixing of the sample.</w:t>
      </w:r>
    </w:p>
    <w:p w:rsidR="00940CCC" w:rsidRPr="00940CCC" w:rsidRDefault="00940CCC" w:rsidP="00940CCC">
      <w:pPr>
        <w:rPr>
          <w:rFonts w:ascii="Helvetica" w:hAnsi="Helvetica"/>
        </w:rPr>
      </w:pPr>
    </w:p>
    <w:p w:rsidR="00940CCC" w:rsidRPr="00940CCC" w:rsidRDefault="00940CCC" w:rsidP="00940CCC">
      <w:pPr>
        <w:rPr>
          <w:rFonts w:ascii="Helvetica" w:hAnsi="Helvetica"/>
        </w:rPr>
      </w:pPr>
      <w:r w:rsidRPr="00940CCC">
        <w:rPr>
          <w:rFonts w:ascii="Helvetica" w:hAnsi="Helvetica"/>
        </w:rPr>
        <w:t>The objective of this Challenge is to understand the root cause(s) and mechanisms of this reversible post-thaw decrease in calcium concentration and to design approaches to prevent it from happening.</w:t>
      </w:r>
    </w:p>
    <w:p w:rsidR="00940CCC" w:rsidRPr="00940CCC" w:rsidRDefault="00940CCC" w:rsidP="00940CCC">
      <w:pPr>
        <w:rPr>
          <w:rFonts w:ascii="Helvetica" w:hAnsi="Helvetica"/>
        </w:rPr>
      </w:pPr>
    </w:p>
    <w:p w:rsidR="00940CCC" w:rsidRPr="00940CCC" w:rsidRDefault="00940CCC" w:rsidP="00940CCC">
      <w:pPr>
        <w:rPr>
          <w:rFonts w:ascii="Helvetica" w:hAnsi="Helvetica"/>
          <w:b/>
          <w:bCs/>
        </w:rPr>
      </w:pPr>
      <w:r w:rsidRPr="00940CCC">
        <w:rPr>
          <w:rFonts w:ascii="Helvetica" w:hAnsi="Helvetica"/>
          <w:b/>
          <w:bCs/>
        </w:rPr>
        <w:t>Background</w:t>
      </w:r>
    </w:p>
    <w:p w:rsidR="00940CCC" w:rsidRPr="00940CCC" w:rsidRDefault="00940CCC" w:rsidP="00940CCC">
      <w:pPr>
        <w:rPr>
          <w:rFonts w:ascii="Helvetica" w:hAnsi="Helvetica"/>
        </w:rPr>
      </w:pPr>
      <w:r w:rsidRPr="00940CCC">
        <w:rPr>
          <w:rFonts w:ascii="Helvetica" w:hAnsi="Helvetica"/>
        </w:rPr>
        <w:t>Clinical labs rely on automated analyzers to perform routine laboratory testing. To function properly and assess precision, the analyzers need to be routinely tested against a proper quality control (QC) standard, such as a commercially available product.</w:t>
      </w:r>
    </w:p>
    <w:p w:rsidR="00940CCC" w:rsidRPr="00940CCC" w:rsidRDefault="00940CCC" w:rsidP="00940CCC">
      <w:pPr>
        <w:rPr>
          <w:rFonts w:ascii="Helvetica" w:hAnsi="Helvetica"/>
        </w:rPr>
      </w:pPr>
    </w:p>
    <w:p w:rsidR="00940CCC" w:rsidRPr="00940CCC" w:rsidRDefault="00940CCC" w:rsidP="00940CCC">
      <w:pPr>
        <w:rPr>
          <w:rFonts w:ascii="Helvetica" w:hAnsi="Helvetica"/>
        </w:rPr>
      </w:pPr>
      <w:r w:rsidRPr="00940CCC">
        <w:rPr>
          <w:rFonts w:ascii="Helvetica" w:hAnsi="Helvetica"/>
        </w:rPr>
        <w:t>One of our products is a QC standard for laboratory testing. The standard is a ready-to-use, liquid, human-serum-based formulation containing a precise, known amount of various blood components, called analytes.</w:t>
      </w:r>
    </w:p>
    <w:p w:rsidR="00940CCC" w:rsidRPr="00940CCC" w:rsidRDefault="00940CCC" w:rsidP="00940CCC">
      <w:pPr>
        <w:rPr>
          <w:rFonts w:ascii="Helvetica" w:hAnsi="Helvetica"/>
        </w:rPr>
      </w:pPr>
    </w:p>
    <w:p w:rsidR="00940CCC" w:rsidRPr="00940CCC" w:rsidRDefault="00940CCC" w:rsidP="00940CCC">
      <w:pPr>
        <w:rPr>
          <w:rFonts w:ascii="Helvetica" w:hAnsi="Helvetica"/>
        </w:rPr>
      </w:pPr>
      <w:r w:rsidRPr="00940CCC">
        <w:rPr>
          <w:rFonts w:ascii="Helvetica" w:hAnsi="Helvetica"/>
        </w:rPr>
        <w:t>The product is composed primarily of human serum, with electrolytes (Ca, Mg, Zn, carbonates, phosphates, etc.), metabolites, proteins, enzymes, and lipids added at concentrations to approximate patient specimens across a range of analytes. The formulation includes stabilizers, preservatives, buffering agents, and surfactants to support analyte stability and microbiological integrity. For more details, see the table below.</w:t>
      </w:r>
    </w:p>
    <w:p w:rsidR="00000000" w:rsidRPr="00940CCC" w:rsidRDefault="00000000">
      <w:pPr>
        <w:rPr>
          <w:rFonts w:ascii="Helvetica" w:hAnsi="Helvetica"/>
        </w:rPr>
      </w:pPr>
    </w:p>
    <w:tbl>
      <w:tblPr>
        <w:tblW w:w="2040" w:type="dxa"/>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1723"/>
        <w:gridCol w:w="929"/>
        <w:gridCol w:w="660"/>
        <w:gridCol w:w="707"/>
      </w:tblGrid>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b/>
                <w:bCs/>
                <w:color w:val="212529"/>
                <w:kern w:val="0"/>
                <w:sz w:val="21"/>
                <w:szCs w:val="21"/>
                <w14:ligatures w14:val="none"/>
              </w:rPr>
              <w:t>Analyte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b/>
                <w:bCs/>
                <w:color w:val="212529"/>
                <w:kern w:val="0"/>
                <w:sz w:val="21"/>
                <w:szCs w:val="21"/>
                <w14:ligatures w14:val="none"/>
              </w:rPr>
              <w:t>Unit</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b/>
                <w:bCs/>
                <w:color w:val="212529"/>
                <w:kern w:val="0"/>
                <w:sz w:val="21"/>
                <w:szCs w:val="21"/>
                <w14:ligatures w14:val="none"/>
              </w:rPr>
              <w:t>Low</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b/>
                <w:bCs/>
                <w:color w:val="212529"/>
                <w:kern w:val="0"/>
                <w:sz w:val="21"/>
                <w:szCs w:val="21"/>
                <w14:ligatures w14:val="none"/>
              </w:rPr>
              <w:t>High</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Amylase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46</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426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Acetaminophen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13</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100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Acid Phosphatase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57</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lastRenderedPageBreak/>
              <w:t>Alkaline Phosphatase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80</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487</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ALT/SGPT</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31</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125</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AST/SGOT</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22</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204</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BUN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11</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57</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Calcium</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6.6</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15.6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Carbamazepine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17.5</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Carbon Dioxide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mmol/L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16</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45</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Chloride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mmol/L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82</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104</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Cholesterol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85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270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Cortisol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7.5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67.5</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Creatine Kinase </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113</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566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Creatinine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0.6</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6.6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Digoxin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ng/mL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0.8</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3.9</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Direct Bilirubin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0.14</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1.4</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Ethanol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180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Gentamicin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GGT</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24</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171</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Glucose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78</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300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Iron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10</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308</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Lactic Acid</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7.4</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Lactate Dehydrogenase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90</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400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Lipase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18</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81</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Lithium</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mmol/L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0.4</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2.3</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Magnesium</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1.7</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lastRenderedPageBreak/>
              <w:t>Phenobarbital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10</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57</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Phenytoin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9</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33</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Phosphorus</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2.3</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8.8</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Potassium</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mmol/L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7.2</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Salicylate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4.8</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21</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Sodium</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mmol/L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118</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160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T3 (Total)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ng/mL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0.3</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3.6</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T4 (Total)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24</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Theophylline</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6.6</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Tobramycin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5.7</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1.8</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Total Bilirubin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0.78</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5.9</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Total Protein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3.7</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7.3</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Triglycerides</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74</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220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TSH</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proofErr w:type="spellStart"/>
            <w:r w:rsidRPr="00940CCC">
              <w:rPr>
                <w:rFonts w:ascii="Helvetica" w:eastAsia="Times New Roman" w:hAnsi="Helvetica" w:cs="Segoe UI"/>
                <w:color w:val="000000"/>
                <w:kern w:val="0"/>
                <w:sz w:val="21"/>
                <w:szCs w:val="21"/>
                <w14:ligatures w14:val="none"/>
              </w:rPr>
              <w:t>uIU</w:t>
            </w:r>
            <w:proofErr w:type="spellEnd"/>
            <w:r w:rsidRPr="00940CCC">
              <w:rPr>
                <w:rFonts w:ascii="Helvetica" w:eastAsia="Times New Roman" w:hAnsi="Helvetica" w:cs="Segoe UI"/>
                <w:color w:val="000000"/>
                <w:kern w:val="0"/>
                <w:sz w:val="21"/>
                <w:szCs w:val="21"/>
                <w14:ligatures w14:val="none"/>
              </w:rPr>
              <w:t>/mL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0.01</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17.5</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Uric Acid</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mg/dL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3</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10.7</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Valproic Acid</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25</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150</w:t>
            </w:r>
          </w:p>
        </w:tc>
      </w:tr>
      <w:tr w:rsidR="00940CCC" w:rsidRPr="00940CCC" w:rsidTr="00940CC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Vancomycin</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ug/mL</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6.4</w:t>
            </w:r>
          </w:p>
        </w:tc>
        <w:tc>
          <w:tcPr>
            <w:tcW w:w="5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40CCC" w:rsidRPr="00940CCC" w:rsidRDefault="00940CCC" w:rsidP="00940CCC">
            <w:pPr>
              <w:rPr>
                <w:rFonts w:ascii="Helvetica" w:eastAsia="Times New Roman" w:hAnsi="Helvetica" w:cs="Segoe UI"/>
                <w:color w:val="212529"/>
                <w:kern w:val="0"/>
                <w:sz w:val="21"/>
                <w:szCs w:val="21"/>
                <w14:ligatures w14:val="none"/>
              </w:rPr>
            </w:pPr>
            <w:r w:rsidRPr="00940CCC">
              <w:rPr>
                <w:rFonts w:ascii="Helvetica" w:eastAsia="Times New Roman" w:hAnsi="Helvetica" w:cs="Segoe UI"/>
                <w:color w:val="000000"/>
                <w:kern w:val="0"/>
                <w:sz w:val="21"/>
                <w:szCs w:val="21"/>
                <w14:ligatures w14:val="none"/>
              </w:rPr>
              <w:t>50</w:t>
            </w:r>
          </w:p>
        </w:tc>
      </w:tr>
    </w:tbl>
    <w:p w:rsidR="00940CCC" w:rsidRPr="00940CCC" w:rsidRDefault="00940CCC">
      <w:pPr>
        <w:rPr>
          <w:rFonts w:ascii="Helvetica" w:hAnsi="Helvetica"/>
        </w:rPr>
      </w:pP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The QC samples are kept frozen at -20 °C in amber glass vials filled at varying volumes (</w:t>
      </w:r>
      <w:r w:rsidRPr="00940CCC">
        <w:rPr>
          <w:rFonts w:ascii="Helvetica" w:eastAsia="Times New Roman" w:hAnsi="Helvetica" w:cs="Segoe UI"/>
          <w:color w:val="212529"/>
          <w:kern w:val="0"/>
          <w:u w:val="single"/>
          <w14:ligatures w14:val="none"/>
        </w:rPr>
        <w:t>&lt;</w:t>
      </w:r>
      <w:r w:rsidRPr="00940CCC">
        <w:rPr>
          <w:rFonts w:ascii="Helvetica" w:eastAsia="Times New Roman" w:hAnsi="Helvetica" w:cs="Segoe UI"/>
          <w:color w:val="212529"/>
          <w:kern w:val="0"/>
          <w14:ligatures w14:val="none"/>
        </w:rPr>
        <w:t> 10mL)</w:t>
      </w:r>
      <w:r w:rsidRPr="00940CCC">
        <w:rPr>
          <w:rFonts w:ascii="Helvetica" w:eastAsia="Times New Roman" w:hAnsi="Helvetica" w:cs="Segoe UI"/>
          <w:color w:val="00B050"/>
          <w:kern w:val="0"/>
          <w14:ligatures w14:val="none"/>
        </w:rPr>
        <w:t> </w:t>
      </w:r>
      <w:r w:rsidRPr="00940CCC">
        <w:rPr>
          <w:rFonts w:ascii="Helvetica" w:eastAsia="Times New Roman" w:hAnsi="Helvetica" w:cs="Segoe UI"/>
          <w:color w:val="212529"/>
          <w:kern w:val="0"/>
          <w14:ligatures w14:val="none"/>
        </w:rPr>
        <w:t>(&gt;10,000 vials per batch). To prevent the formation of ice crystals, cryoprotectants are added to the formulation.</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Before use, the QC samples are removed from frozen storage and allowed to thaw at ambient temperature for </w:t>
      </w:r>
      <w:r w:rsidRPr="00940CCC">
        <w:rPr>
          <w:rFonts w:ascii="Helvetica" w:eastAsia="Times New Roman" w:hAnsi="Helvetica" w:cs="Segoe UI"/>
          <w:color w:val="212529"/>
          <w:kern w:val="0"/>
          <w:u w:val="single"/>
          <w14:ligatures w14:val="none"/>
        </w:rPr>
        <w:t>&lt;</w:t>
      </w:r>
      <w:r w:rsidRPr="00940CCC">
        <w:rPr>
          <w:rFonts w:ascii="Helvetica" w:eastAsia="Times New Roman" w:hAnsi="Helvetica" w:cs="Segoe UI"/>
          <w:color w:val="212529"/>
          <w:kern w:val="0"/>
          <w14:ligatures w14:val="none"/>
        </w:rPr>
        <w:t>60 min.</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We have noticed that in some of the samples, after being stored at </w:t>
      </w:r>
      <w:r w:rsidRPr="00940CCC">
        <w:rPr>
          <w:rFonts w:ascii="Helvetica" w:eastAsia="Times New Roman" w:hAnsi="Helvetica" w:cs="Segoe UI"/>
          <w:color w:val="000000"/>
          <w:kern w:val="0"/>
          <w14:ligatures w14:val="none"/>
        </w:rPr>
        <w:t>-20°C for 6 months or more, </w:t>
      </w:r>
      <w:r w:rsidRPr="00940CCC">
        <w:rPr>
          <w:rFonts w:ascii="Helvetica" w:eastAsia="Times New Roman" w:hAnsi="Helvetica" w:cs="Segoe UI"/>
          <w:i/>
          <w:iCs/>
          <w:color w:val="212529"/>
          <w:kern w:val="0"/>
          <w14:ligatures w14:val="none"/>
        </w:rPr>
        <w:t>a reversible post-thaw decrease in calcium concentration </w:t>
      </w:r>
      <w:r w:rsidRPr="00940CCC">
        <w:rPr>
          <w:rFonts w:ascii="Helvetica" w:eastAsia="Times New Roman" w:hAnsi="Helvetica" w:cs="Segoe UI"/>
          <w:color w:val="212529"/>
          <w:kern w:val="0"/>
          <w14:ligatures w14:val="none"/>
        </w:rPr>
        <w:t>takes place. That means that in a freshly thawed sample, the effective concentration of calcium is 4% or more </w:t>
      </w:r>
      <w:r w:rsidRPr="00940CCC">
        <w:rPr>
          <w:rFonts w:ascii="Helvetica" w:eastAsia="Times New Roman" w:hAnsi="Helvetica" w:cs="Segoe UI"/>
          <w:i/>
          <w:iCs/>
          <w:color w:val="212529"/>
          <w:kern w:val="0"/>
          <w14:ligatures w14:val="none"/>
        </w:rPr>
        <w:t>lower</w:t>
      </w:r>
      <w:r>
        <w:rPr>
          <w:rFonts w:ascii="Helvetica" w:eastAsia="Times New Roman" w:hAnsi="Helvetica" w:cs="Segoe UI"/>
          <w:color w:val="212529"/>
          <w:kern w:val="0"/>
          <w14:ligatures w14:val="none"/>
        </w:rPr>
        <w:t xml:space="preserve"> t</w:t>
      </w:r>
      <w:r w:rsidRPr="00940CCC">
        <w:rPr>
          <w:rFonts w:ascii="Helvetica" w:eastAsia="Times New Roman" w:hAnsi="Helvetica" w:cs="Segoe UI"/>
          <w:color w:val="212529"/>
          <w:kern w:val="0"/>
          <w14:ligatures w14:val="none"/>
        </w:rPr>
        <w:t>han the expected amount.</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lastRenderedPageBreak/>
        <w:t>The decrease in calcium concentration is batch-to-batch and, even more surprisingly, vial-to-vial dependent.</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This post-thaw decrease doesn’t happen in the samples stored at </w:t>
      </w:r>
      <w:r w:rsidRPr="00940CCC">
        <w:rPr>
          <w:rFonts w:ascii="Helvetica" w:eastAsia="Times New Roman" w:hAnsi="Helvetica" w:cs="Segoe UI"/>
          <w:color w:val="000000"/>
          <w:kern w:val="0"/>
          <w14:ligatures w14:val="none"/>
        </w:rPr>
        <w:t>-20°C for less than 6 months.</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The decrease in calcium concentration is also reversible with additional mixing of the sample or equilibration (increasing the thaw time to 24-48 hrs at 2-8°C).</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b/>
          <w:bCs/>
          <w:color w:val="212529"/>
          <w:kern w:val="0"/>
          <w14:ligatures w14:val="none"/>
        </w:rPr>
        <w:t>The Challenge</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The goal of this Challenge is to understand the root cause(s) of reversible post-thaw decrease in calcium concentration and to design approaches to prevent it from happening.</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We expect submissions to this Challenge to be composed of two parts.</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In Part 1, the Solvers should thoroughly investigate the mechanisms (root causes) of reversible post-thaw decrease in calcium concentration.</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Our preliminary studies indicate that the decrease in calcium recovery may be due to calcium salts. The following factors have not been excluded for potential explanation: protein binding, effects of surfactants, pH/ionic-strength shifts, micro-precipitation/phase separation, and others.</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The proposed mechanism(s) should be able to account for:</w:t>
      </w:r>
    </w:p>
    <w:p w:rsidR="00940CCC" w:rsidRPr="00940CCC" w:rsidRDefault="00940CCC" w:rsidP="00940CCC">
      <w:pPr>
        <w:numPr>
          <w:ilvl w:val="0"/>
          <w:numId w:val="1"/>
        </w:numPr>
        <w:spacing w:before="100" w:beforeAutospacing="1" w:after="100" w:afterAutospacing="1"/>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Affected samples showing a decrease in calcium concentration after being stored at -20°C for 6 months or more</w:t>
      </w:r>
    </w:p>
    <w:p w:rsidR="00940CCC" w:rsidRPr="00940CCC" w:rsidRDefault="00940CCC" w:rsidP="00940CCC">
      <w:pPr>
        <w:numPr>
          <w:ilvl w:val="0"/>
          <w:numId w:val="1"/>
        </w:numPr>
        <w:spacing w:before="100" w:beforeAutospacing="1" w:after="100" w:afterAutospacing="1"/>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Reversibility with additional mixing/equilibration </w:t>
      </w:r>
    </w:p>
    <w:p w:rsidR="00940CCC" w:rsidRPr="00940CCC" w:rsidRDefault="00940CCC" w:rsidP="00940CCC">
      <w:pPr>
        <w:numPr>
          <w:ilvl w:val="0"/>
          <w:numId w:val="1"/>
        </w:numPr>
        <w:spacing w:before="100" w:beforeAutospacing="1" w:after="100" w:afterAutospacing="1"/>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Batch-to-batch and vial-to-vial variability </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In addition – </w:t>
      </w:r>
      <w:r w:rsidRPr="00940CCC">
        <w:rPr>
          <w:rFonts w:ascii="Helvetica" w:eastAsia="Times New Roman" w:hAnsi="Helvetica" w:cs="Segoe UI"/>
          <w:i/>
          <w:iCs/>
          <w:color w:val="212529"/>
          <w:kern w:val="0"/>
          <w14:ligatures w14:val="none"/>
        </w:rPr>
        <w:t>and this is very important!</w:t>
      </w:r>
      <w:r w:rsidRPr="00940CCC">
        <w:rPr>
          <w:rFonts w:ascii="Helvetica" w:eastAsia="Times New Roman" w:hAnsi="Helvetica" w:cs="Segoe UI"/>
          <w:color w:val="212529"/>
          <w:kern w:val="0"/>
          <w14:ligatures w14:val="none"/>
        </w:rPr>
        <w:t> – the proposed mechanism(s) should be accompanied by 2-3 experimental tests to prove or disprove the mechanism(s) (what to measure and predicted outcomes if the hypothesis is true/false).</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In Part 2, the Solvers are expected to propose intervention(s) that would mitigate or neutralize the mechanism(s) they outlined in Part 1. By mitigation, we mean the decrease of calcium concentration by less than 4%.</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The proposed intervention(s) must meet the following criteria:</w:t>
      </w:r>
    </w:p>
    <w:p w:rsidR="00940CCC" w:rsidRPr="00940CCC" w:rsidRDefault="00940CCC" w:rsidP="00940CCC">
      <w:pPr>
        <w:numPr>
          <w:ilvl w:val="0"/>
          <w:numId w:val="2"/>
        </w:numPr>
        <w:spacing w:before="100" w:beforeAutospacing="1" w:after="100" w:afterAutospacing="1"/>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lastRenderedPageBreak/>
        <w:t>Mitigate or eliminate observed decrease in calcium concentration, that is, to reduce the decrease in calcium concentration to less than 4%</w:t>
      </w:r>
    </w:p>
    <w:p w:rsidR="00940CCC" w:rsidRPr="00940CCC" w:rsidRDefault="00940CCC" w:rsidP="00940CCC">
      <w:pPr>
        <w:numPr>
          <w:ilvl w:val="0"/>
          <w:numId w:val="2"/>
        </w:numPr>
        <w:spacing w:before="100" w:beforeAutospacing="1" w:after="100" w:afterAutospacing="1"/>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Avoid changes to routine laboratory use</w:t>
      </w:r>
    </w:p>
    <w:p w:rsidR="00940CCC" w:rsidRPr="00940CCC" w:rsidRDefault="00940CCC" w:rsidP="00940CCC">
      <w:pPr>
        <w:numPr>
          <w:ilvl w:val="0"/>
          <w:numId w:val="2"/>
        </w:numPr>
        <w:spacing w:before="100" w:beforeAutospacing="1" w:after="100" w:afterAutospacing="1"/>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Include risk assessment of potential effects of the proposed intervention on the following factors:</w:t>
      </w:r>
    </w:p>
    <w:p w:rsidR="00940CCC" w:rsidRPr="00940CCC" w:rsidRDefault="00940CCC" w:rsidP="00940CCC">
      <w:pPr>
        <w:numPr>
          <w:ilvl w:val="1"/>
          <w:numId w:val="2"/>
        </w:numPr>
        <w:spacing w:before="100" w:beforeAutospacing="1" w:after="100" w:afterAutospacing="1"/>
        <w:ind w:left="2160"/>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pH/ionic-strength shifts</w:t>
      </w:r>
    </w:p>
    <w:p w:rsidR="00940CCC" w:rsidRPr="00940CCC" w:rsidRDefault="00940CCC" w:rsidP="00940CCC">
      <w:pPr>
        <w:numPr>
          <w:ilvl w:val="1"/>
          <w:numId w:val="2"/>
        </w:numPr>
        <w:spacing w:before="100" w:beforeAutospacing="1" w:after="100" w:afterAutospacing="1"/>
        <w:ind w:left="2160"/>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Metal balance </w:t>
      </w:r>
    </w:p>
    <w:p w:rsidR="00940CCC" w:rsidRPr="00940CCC" w:rsidRDefault="00940CCC" w:rsidP="00940CCC">
      <w:pPr>
        <w:numPr>
          <w:ilvl w:val="1"/>
          <w:numId w:val="2"/>
        </w:numPr>
        <w:spacing w:before="100" w:beforeAutospacing="1" w:after="100" w:afterAutospacing="1"/>
        <w:ind w:left="2160"/>
        <w:rPr>
          <w:rFonts w:ascii="Helvetica" w:eastAsia="Times New Roman" w:hAnsi="Helvetica" w:cs="Segoe UI"/>
          <w:color w:val="212529"/>
          <w:kern w:val="0"/>
          <w14:ligatures w14:val="none"/>
        </w:rPr>
      </w:pPr>
      <w:r w:rsidRPr="00940CCC">
        <w:rPr>
          <w:rFonts w:ascii="Helvetica" w:eastAsia="Times New Roman" w:hAnsi="Helvetica" w:cs="Segoe UI"/>
          <w:color w:val="000000"/>
          <w:kern w:val="0"/>
          <w14:ligatures w14:val="none"/>
        </w:rPr>
        <w:t>Osmolality</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b/>
          <w:bCs/>
          <w:color w:val="212529"/>
          <w:kern w:val="0"/>
          <w14:ligatures w14:val="none"/>
        </w:rPr>
        <w:t>Important!</w:t>
      </w:r>
      <w:r w:rsidRPr="00940CCC">
        <w:rPr>
          <w:rFonts w:ascii="Helvetica" w:eastAsia="Times New Roman" w:hAnsi="Helvetica" w:cs="Segoe UI"/>
          <w:color w:val="212529"/>
          <w:kern w:val="0"/>
          <w14:ligatures w14:val="none"/>
        </w:rPr>
        <w:t> The use of QC standards is regulated by </w:t>
      </w:r>
      <w:hyperlink r:id="rId5" w:tgtFrame="_blank" w:history="1">
        <w:r w:rsidRPr="00940CCC">
          <w:rPr>
            <w:rFonts w:ascii="Helvetica" w:eastAsia="Times New Roman" w:hAnsi="Helvetica" w:cs="Segoe UI"/>
            <w:color w:val="2075B7"/>
            <w:kern w:val="0"/>
            <w:u w:val="single"/>
            <w14:ligatures w14:val="none"/>
          </w:rPr>
          <w:t>ISO 13485</w:t>
        </w:r>
      </w:hyperlink>
      <w:r w:rsidRPr="00940CCC">
        <w:rPr>
          <w:rFonts w:ascii="Helvetica" w:eastAsia="Times New Roman" w:hAnsi="Helvetica" w:cs="Segoe UI"/>
          <w:color w:val="212529"/>
          <w:kern w:val="0"/>
          <w14:ligatures w14:val="none"/>
        </w:rPr>
        <w:t>, so any successful intervention (in Part 2) should comply with ISO 13485. In practice, that means that the intervention must be </w:t>
      </w:r>
      <w:r w:rsidRPr="00940CCC">
        <w:rPr>
          <w:rFonts w:ascii="Helvetica" w:eastAsia="Times New Roman" w:hAnsi="Helvetica" w:cs="Segoe UI"/>
          <w:b/>
          <w:bCs/>
          <w:color w:val="212529"/>
          <w:kern w:val="0"/>
          <w14:ligatures w14:val="none"/>
        </w:rPr>
        <w:t>formulation-neutral</w:t>
      </w:r>
      <w:r w:rsidRPr="00940CCC">
        <w:rPr>
          <w:rFonts w:ascii="Helvetica" w:eastAsia="Times New Roman" w:hAnsi="Helvetica" w:cs="Segoe UI"/>
          <w:color w:val="212529"/>
          <w:kern w:val="0"/>
          <w14:ligatures w14:val="none"/>
        </w:rPr>
        <w:t>, that is, not changing, in any meaningful way, the chemical composition of the formulation. It also means, no deviations from the standard protocol of preparing and using the samples, except for the sample initial freezing and degassing and precise protocol of sample thawing.</w:t>
      </w:r>
    </w:p>
    <w:p w:rsidR="00940CCC" w:rsidRPr="00940CCC" w:rsidRDefault="00940CCC" w:rsidP="00940CCC">
      <w:pPr>
        <w:spacing w:after="330"/>
        <w:rPr>
          <w:rFonts w:ascii="Helvetica" w:eastAsia="Times New Roman" w:hAnsi="Helvetica" w:cs="Segoe UI"/>
          <w:color w:val="212529"/>
          <w:kern w:val="0"/>
          <w14:ligatures w14:val="none"/>
        </w:rPr>
      </w:pPr>
      <w:r w:rsidRPr="00940CCC">
        <w:rPr>
          <w:rFonts w:ascii="Helvetica" w:eastAsia="Times New Roman" w:hAnsi="Helvetica" w:cs="Segoe UI"/>
          <w:color w:val="212529"/>
          <w:kern w:val="0"/>
          <w14:ligatures w14:val="none"/>
        </w:rPr>
        <w:t>Equally important, the proposed interventions must comply with </w:t>
      </w:r>
      <w:hyperlink r:id="rId6" w:tgtFrame="_blank" w:history="1">
        <w:r w:rsidRPr="00940CCC">
          <w:rPr>
            <w:rFonts w:ascii="Helvetica" w:eastAsia="Times New Roman" w:hAnsi="Helvetica" w:cs="Segoe UI"/>
            <w:color w:val="2075B7"/>
            <w:kern w:val="0"/>
            <w:u w:val="single"/>
            <w14:ligatures w14:val="none"/>
          </w:rPr>
          <w:t>REACH</w:t>
        </w:r>
      </w:hyperlink>
      <w:r w:rsidRPr="00940CCC">
        <w:rPr>
          <w:rFonts w:ascii="Helvetica" w:eastAsia="Times New Roman" w:hAnsi="Helvetica" w:cs="Segoe UI"/>
          <w:color w:val="212529"/>
          <w:kern w:val="0"/>
          <w14:ligatures w14:val="none"/>
        </w:rPr>
        <w:t> and </w:t>
      </w:r>
      <w:hyperlink r:id="rId7" w:tgtFrame="_blank" w:history="1">
        <w:r w:rsidRPr="00940CCC">
          <w:rPr>
            <w:rFonts w:ascii="Helvetica" w:eastAsia="Times New Roman" w:hAnsi="Helvetica" w:cs="Segoe UI"/>
            <w:color w:val="2075B7"/>
            <w:kern w:val="0"/>
            <w:u w:val="single"/>
            <w14:ligatures w14:val="none"/>
          </w:rPr>
          <w:t>PFAS</w:t>
        </w:r>
      </w:hyperlink>
      <w:r w:rsidRPr="00940CCC">
        <w:rPr>
          <w:rFonts w:ascii="Helvetica" w:eastAsia="Times New Roman" w:hAnsi="Helvetica" w:cs="Segoe UI"/>
          <w:color w:val="212529"/>
          <w:kern w:val="0"/>
          <w14:ligatures w14:val="none"/>
        </w:rPr>
        <w:t> regulations.</w:t>
      </w:r>
    </w:p>
    <w:p w:rsidR="00940CCC" w:rsidRP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b/>
          <w:bCs/>
          <w:color w:val="212529"/>
          <w:kern w:val="0"/>
          <w14:ligatures w14:val="none"/>
        </w:rPr>
        <w:t>SOLUTION REQUIREMENTS</w:t>
      </w:r>
    </w:p>
    <w:p w:rsidR="00940CCC" w:rsidRP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We’re open to any innovative solution to the reversible post-thaw decrease in calcium concentration problem as long as the proposed submissions meet the following </w:t>
      </w:r>
      <w:r w:rsidRPr="00940CCC">
        <w:rPr>
          <w:rFonts w:ascii="Segoe UI" w:eastAsia="Times New Roman" w:hAnsi="Segoe UI" w:cs="Segoe UI"/>
          <w:b/>
          <w:bCs/>
          <w:color w:val="212529"/>
          <w:kern w:val="0"/>
          <w14:ligatures w14:val="none"/>
        </w:rPr>
        <w:t>Solution Requirements</w:t>
      </w:r>
      <w:r w:rsidRPr="00940CCC">
        <w:rPr>
          <w:rFonts w:ascii="Segoe UI" w:eastAsia="Times New Roman" w:hAnsi="Segoe UI" w:cs="Segoe UI"/>
          <w:color w:val="212529"/>
          <w:kern w:val="0"/>
          <w14:ligatures w14:val="none"/>
        </w:rPr>
        <w:t>:</w:t>
      </w:r>
    </w:p>
    <w:p w:rsidR="00940CCC" w:rsidRPr="00940CCC" w:rsidRDefault="00940CCC" w:rsidP="00940CCC">
      <w:pPr>
        <w:numPr>
          <w:ilvl w:val="0"/>
          <w:numId w:val="3"/>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The proposed solution is arranged in two parts:</w:t>
      </w:r>
    </w:p>
    <w:p w:rsidR="00940CCC" w:rsidRPr="00940CCC" w:rsidRDefault="00940CCC" w:rsidP="00940CCC">
      <w:pPr>
        <w:numPr>
          <w:ilvl w:val="1"/>
          <w:numId w:val="3"/>
        </w:numPr>
        <w:spacing w:before="100" w:beforeAutospacing="1" w:after="100" w:afterAutospacing="1"/>
        <w:ind w:left="2160"/>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Part 1 proposes the mechanisms (root causes) of the decrease in calcium concentration post-thaw. The mechanisms should take into account the most salient features of the phenomenon, such as </w:t>
      </w:r>
      <w:r w:rsidRPr="00940CCC">
        <w:rPr>
          <w:rFonts w:ascii="Segoe UI" w:eastAsia="Times New Roman" w:hAnsi="Segoe UI" w:cs="Segoe UI"/>
          <w:color w:val="000000"/>
          <w:kern w:val="0"/>
          <w14:ligatures w14:val="none"/>
        </w:rPr>
        <w:t>reversibility with mixing/equilibration and batch-to-batch and vial-to-vial variability. Part 1 should also articulate </w:t>
      </w:r>
      <w:r w:rsidRPr="00940CCC">
        <w:rPr>
          <w:rFonts w:ascii="Segoe UI" w:eastAsia="Times New Roman" w:hAnsi="Segoe UI" w:cs="Segoe UI"/>
          <w:color w:val="212529"/>
          <w:kern w:val="0"/>
          <w14:ligatures w14:val="none"/>
        </w:rPr>
        <w:t>2-3 experimental tests to prove or disprove the proposed mechanisms (what to measure and predicted outcomes if the hypothesis is true/false).</w:t>
      </w:r>
    </w:p>
    <w:p w:rsidR="00940CCC" w:rsidRPr="00940CCC" w:rsidRDefault="00940CCC" w:rsidP="00940CCC">
      <w:pPr>
        <w:numPr>
          <w:ilvl w:val="1"/>
          <w:numId w:val="3"/>
        </w:numPr>
        <w:spacing w:before="100" w:beforeAutospacing="1" w:after="100" w:afterAutospacing="1"/>
        <w:ind w:left="2160"/>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Part 2 proposes intervention(s) that would mitigate or neutralize the mechanism(s) outlined in Part 1. This part should also include a detailed intervention protocol.</w:t>
      </w:r>
    </w:p>
    <w:p w:rsidR="00940CCC" w:rsidRPr="00940CCC" w:rsidRDefault="00940CCC" w:rsidP="00940CCC">
      <w:pPr>
        <w:numPr>
          <w:ilvl w:val="0"/>
          <w:numId w:val="3"/>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The proposed intervention(s) should meet the following criteria:</w:t>
      </w:r>
    </w:p>
    <w:p w:rsidR="00940CCC" w:rsidRPr="00940CCC" w:rsidRDefault="00940CCC" w:rsidP="00940CCC">
      <w:pPr>
        <w:numPr>
          <w:ilvl w:val="1"/>
          <w:numId w:val="3"/>
        </w:numPr>
        <w:spacing w:before="100" w:beforeAutospacing="1" w:after="100" w:afterAutospacing="1"/>
        <w:ind w:left="2160"/>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Mitigate or eliminate observed decrease in calcium concentration, that is, to reduce the decrease in calcium concentration to less than 4%</w:t>
      </w:r>
    </w:p>
    <w:p w:rsidR="00940CCC" w:rsidRPr="00940CCC" w:rsidRDefault="00940CCC" w:rsidP="00940CCC">
      <w:pPr>
        <w:numPr>
          <w:ilvl w:val="1"/>
          <w:numId w:val="3"/>
        </w:numPr>
        <w:spacing w:before="100" w:beforeAutospacing="1" w:after="100" w:afterAutospacing="1"/>
        <w:ind w:left="216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Avoid changes to routine laboratory use</w:t>
      </w:r>
    </w:p>
    <w:p w:rsidR="00940CCC" w:rsidRPr="00940CCC" w:rsidRDefault="00940CCC" w:rsidP="00940CCC">
      <w:pPr>
        <w:numPr>
          <w:ilvl w:val="1"/>
          <w:numId w:val="3"/>
        </w:numPr>
        <w:spacing w:before="100" w:beforeAutospacing="1" w:after="100" w:afterAutospacing="1"/>
        <w:ind w:left="216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lastRenderedPageBreak/>
        <w:t>Include risk assessment of potential effects of the proposed intervention on the following factors:</w:t>
      </w:r>
    </w:p>
    <w:p w:rsidR="00940CCC" w:rsidRPr="00940CCC" w:rsidRDefault="00940CCC" w:rsidP="00940CCC">
      <w:pPr>
        <w:numPr>
          <w:ilvl w:val="2"/>
          <w:numId w:val="3"/>
        </w:numPr>
        <w:spacing w:before="100" w:beforeAutospacing="1" w:after="100" w:afterAutospacing="1"/>
        <w:ind w:left="432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pH/ionic-strength shifts</w:t>
      </w:r>
    </w:p>
    <w:p w:rsidR="00940CCC" w:rsidRPr="00940CCC" w:rsidRDefault="00940CCC" w:rsidP="00940CCC">
      <w:pPr>
        <w:numPr>
          <w:ilvl w:val="2"/>
          <w:numId w:val="3"/>
        </w:numPr>
        <w:spacing w:before="100" w:beforeAutospacing="1" w:after="100" w:afterAutospacing="1"/>
        <w:ind w:left="432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Metal balance </w:t>
      </w:r>
    </w:p>
    <w:p w:rsidR="00940CCC" w:rsidRPr="00940CCC" w:rsidRDefault="00940CCC" w:rsidP="00940CCC">
      <w:pPr>
        <w:numPr>
          <w:ilvl w:val="2"/>
          <w:numId w:val="3"/>
        </w:numPr>
        <w:spacing w:before="100" w:beforeAutospacing="1" w:after="100" w:afterAutospacing="1"/>
        <w:ind w:left="432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Osmolality</w:t>
      </w:r>
    </w:p>
    <w:p w:rsidR="00940CCC" w:rsidRP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The proposed intervention should fully comply with </w:t>
      </w:r>
      <w:hyperlink r:id="rId8" w:tgtFrame="_blank" w:history="1">
        <w:r w:rsidRPr="00940CCC">
          <w:rPr>
            <w:rFonts w:ascii="Segoe UI" w:eastAsia="Times New Roman" w:hAnsi="Segoe UI" w:cs="Segoe UI"/>
            <w:color w:val="2075B7"/>
            <w:kern w:val="0"/>
            <w:u w:val="single"/>
            <w14:ligatures w14:val="none"/>
          </w:rPr>
          <w:t>ISO 13485</w:t>
        </w:r>
      </w:hyperlink>
      <w:r w:rsidRPr="00940CCC">
        <w:rPr>
          <w:rFonts w:ascii="Segoe UI" w:eastAsia="Times New Roman" w:hAnsi="Segoe UI" w:cs="Segoe UI"/>
          <w:color w:val="212529"/>
          <w:kern w:val="0"/>
          <w14:ligatures w14:val="none"/>
        </w:rPr>
        <w:t>, as well as </w:t>
      </w:r>
      <w:hyperlink r:id="rId9" w:tgtFrame="_blank" w:history="1">
        <w:r w:rsidRPr="00940CCC">
          <w:rPr>
            <w:rFonts w:ascii="Segoe UI" w:eastAsia="Times New Roman" w:hAnsi="Segoe UI" w:cs="Segoe UI"/>
            <w:color w:val="2075B7"/>
            <w:kern w:val="0"/>
            <w:u w:val="single"/>
            <w14:ligatures w14:val="none"/>
          </w:rPr>
          <w:t>REACH</w:t>
        </w:r>
      </w:hyperlink>
      <w:r w:rsidRPr="00940CCC">
        <w:rPr>
          <w:rFonts w:ascii="Segoe UI" w:eastAsia="Times New Roman" w:hAnsi="Segoe UI" w:cs="Segoe UI"/>
          <w:color w:val="212529"/>
          <w:kern w:val="0"/>
          <w14:ligatures w14:val="none"/>
        </w:rPr>
        <w:t> and </w:t>
      </w:r>
      <w:hyperlink r:id="rId10" w:tgtFrame="_blank" w:history="1">
        <w:r w:rsidRPr="00940CCC">
          <w:rPr>
            <w:rFonts w:ascii="Segoe UI" w:eastAsia="Times New Roman" w:hAnsi="Segoe UI" w:cs="Segoe UI"/>
            <w:color w:val="2075B7"/>
            <w:kern w:val="0"/>
            <w:u w:val="single"/>
            <w14:ligatures w14:val="none"/>
          </w:rPr>
          <w:t>PFAS</w:t>
        </w:r>
      </w:hyperlink>
      <w:r w:rsidRPr="00940CCC">
        <w:rPr>
          <w:rFonts w:ascii="Segoe UI" w:eastAsia="Times New Roman" w:hAnsi="Segoe UI" w:cs="Segoe UI"/>
          <w:color w:val="212529"/>
          <w:kern w:val="0"/>
          <w14:ligatures w14:val="none"/>
        </w:rPr>
        <w:t> regulations. In practice, that means that the proposed intervention should be formulation-neutral and not to deviate from the standard protocol of preparing and using QC samples.</w:t>
      </w:r>
    </w:p>
    <w:p w:rsid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b/>
          <w:bCs/>
          <w:color w:val="212529"/>
          <w:kern w:val="0"/>
          <w14:ligatures w14:val="none"/>
        </w:rPr>
        <w:t>Important!</w:t>
      </w:r>
      <w:r w:rsidRPr="00940CCC">
        <w:rPr>
          <w:rFonts w:ascii="Segoe UI" w:eastAsia="Times New Roman" w:hAnsi="Segoe UI" w:cs="Segoe UI"/>
          <w:color w:val="212529"/>
          <w:kern w:val="0"/>
          <w14:ligatures w14:val="none"/>
        </w:rPr>
        <w:t> We are </w:t>
      </w:r>
      <w:r w:rsidRPr="00940CCC">
        <w:rPr>
          <w:rFonts w:ascii="Segoe UI" w:eastAsia="Times New Roman" w:hAnsi="Segoe UI" w:cs="Segoe UI"/>
          <w:b/>
          <w:bCs/>
          <w:color w:val="212529"/>
          <w:kern w:val="0"/>
          <w14:ligatures w14:val="none"/>
        </w:rPr>
        <w:t>not interested </w:t>
      </w:r>
      <w:r w:rsidRPr="00940CCC">
        <w:rPr>
          <w:rFonts w:ascii="Segoe UI" w:eastAsia="Times New Roman" w:hAnsi="Segoe UI" w:cs="Segoe UI"/>
          <w:color w:val="212529"/>
          <w:kern w:val="0"/>
          <w14:ligatures w14:val="none"/>
        </w:rPr>
        <w:t>in solutions that provide no more than a literature review on the topic. The proposed explanation must be thorough, data-driven, and solidly supported by the available literature. The proposed interventions must be practical, that is, provide us with an actionable roadmap to speedy implementation. A discussion of potential trade-offs and perceived implementation risks is a must.</w:t>
      </w:r>
    </w:p>
    <w:p w:rsidR="00940CCC" w:rsidRP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Solutions with </w:t>
      </w:r>
      <w:hyperlink r:id="rId11" w:tgtFrame="_blank" w:history="1">
        <w:r w:rsidRPr="00940CCC">
          <w:rPr>
            <w:rFonts w:ascii="Segoe UI" w:eastAsia="Times New Roman" w:hAnsi="Segoe UI" w:cs="Segoe UI"/>
            <w:color w:val="2075B7"/>
            <w:kern w:val="0"/>
            <w:u w:val="single"/>
            <w14:ligatures w14:val="none"/>
          </w:rPr>
          <w:t>Technology Readiness Levels (TRLs)</w:t>
        </w:r>
      </w:hyperlink>
      <w:r w:rsidRPr="00940CCC">
        <w:rPr>
          <w:rFonts w:ascii="Segoe UI" w:eastAsia="Times New Roman" w:hAnsi="Segoe UI" w:cs="Segoe UI"/>
          <w:color w:val="212529"/>
          <w:kern w:val="0"/>
          <w14:ligatures w14:val="none"/>
        </w:rPr>
        <w:t> 3-5 are invited.</w:t>
      </w:r>
    </w:p>
    <w:p w:rsidR="00940CCC" w:rsidRDefault="00A908BF">
      <w:pPr>
        <w:rPr>
          <w:rFonts w:ascii="Helvetica" w:hAnsi="Helvetica"/>
        </w:rPr>
      </w:pPr>
      <w:r>
        <w:rPr>
          <w:rFonts w:ascii="Helvetica" w:hAnsi="Helvetica"/>
        </w:rPr>
        <w:t>Requirements/</w:t>
      </w:r>
      <w:r w:rsidR="00940CCC">
        <w:rPr>
          <w:rFonts w:ascii="Helvetica" w:hAnsi="Helvetica"/>
        </w:rPr>
        <w:t>Submission Output</w:t>
      </w:r>
    </w:p>
    <w:p w:rsidR="00940CCC" w:rsidRP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Solution Overview, Feasibility and Risks sections must include your responses to Solution Requirements 1 and 2; the explanation must be thorough, data-driven, and solidly supported by literature; the proposed interventions must be practical with an actionable roadmap to speedy implementation. A discussion of potential trade-offs and perceived implementation risks </w:t>
      </w:r>
      <w:r w:rsidRPr="00940CCC">
        <w:rPr>
          <w:rFonts w:ascii="Segoe UI" w:eastAsia="Times New Roman" w:hAnsi="Segoe UI" w:cs="Segoe UI"/>
          <w:color w:val="212529"/>
          <w:kern w:val="0"/>
          <w:u w:val="single"/>
          <w14:ligatures w14:val="none"/>
        </w:rPr>
        <w:t>is a must.</w:t>
      </w:r>
    </w:p>
    <w:p w:rsidR="00940CCC" w:rsidRPr="00940CCC" w:rsidRDefault="00940CCC" w:rsidP="00940CCC">
      <w:pPr>
        <w:spacing w:after="330"/>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The submitted proposals must be written in English and can include:</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Participation type – you will first be asked to inform us how you are participating in this challenge, as a Solver (Individual) or Solver (Organization).</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Solution Level - the Technology Readiness Level (TRL) of your solution.</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Problem &amp; Opportunity - highlight the innovation in your approach to the Problem, its point of difference, and the specific advantages/benefits this brings (up to 500 words).</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Solution Overview - detail the features of your solution and how they address the SOLUTION REQUIREMENTS (500 words, there is space to add more in the summary field, and attach supporting data, diagrams, etc.).</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Solution Feasibility – Supporting Information and Rationale, such as references and precedents, that will help the Seeker evaluate and validate the feasibility of the solution (up to 500 words).</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lastRenderedPageBreak/>
        <w:t>Experience - Direct or adjacent expertise and real-world use cases you or your organization have in relation to the challenge need (up to 500 words).</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Partnering - there may be an opportunity to partner at the conclusion of this Challenge. Please indicate if potential partnering is of interest to you.</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212529"/>
          <w:kern w:val="0"/>
          <w14:ligatures w14:val="none"/>
        </w:rPr>
        <w:t>Solution Risks - any risks you see with your solution and how you would plan for this (up to 500 words).</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Timeline, capability, and costs - describe what you think is required to deliver the solution, estimated time and cost (up to 500 words).</w:t>
      </w:r>
    </w:p>
    <w:p w:rsidR="00940CCC" w:rsidRPr="00940CCC" w:rsidRDefault="00940CCC" w:rsidP="00940CCC">
      <w:pPr>
        <w:numPr>
          <w:ilvl w:val="0"/>
          <w:numId w:val="4"/>
        </w:numPr>
        <w:spacing w:before="100" w:beforeAutospacing="1" w:after="100" w:afterAutospacing="1"/>
        <w:rPr>
          <w:rFonts w:ascii="Segoe UI" w:eastAsia="Times New Roman" w:hAnsi="Segoe UI" w:cs="Segoe UI"/>
          <w:color w:val="212529"/>
          <w:kern w:val="0"/>
          <w14:ligatures w14:val="none"/>
        </w:rPr>
      </w:pPr>
      <w:r w:rsidRPr="00940CCC">
        <w:rPr>
          <w:rFonts w:ascii="Segoe UI" w:eastAsia="Times New Roman" w:hAnsi="Segoe UI" w:cs="Segoe UI"/>
          <w:color w:val="000000"/>
          <w:kern w:val="0"/>
          <w14:ligatures w14:val="none"/>
        </w:rPr>
        <w:t>Online References - provide links to any publications, articles or press releases of relevance (up to 500 words).</w:t>
      </w:r>
    </w:p>
    <w:p w:rsidR="00940CCC" w:rsidRDefault="00940CCC">
      <w:pPr>
        <w:rPr>
          <w:rFonts w:ascii="Helvetica" w:hAnsi="Helvetica"/>
        </w:rPr>
      </w:pPr>
    </w:p>
    <w:p w:rsidR="00232835" w:rsidRDefault="00232835">
      <w:pPr>
        <w:rPr>
          <w:rFonts w:ascii="Helvetica" w:hAnsi="Helvetica"/>
          <w:b/>
          <w:bCs/>
        </w:rPr>
      </w:pPr>
      <w:r w:rsidRPr="00232835">
        <w:rPr>
          <w:rFonts w:ascii="Helvetica" w:hAnsi="Helvetica"/>
          <w:b/>
          <w:bCs/>
        </w:rPr>
        <w:t>Links</w:t>
      </w:r>
    </w:p>
    <w:p w:rsidR="00232835" w:rsidRPr="00A908BF" w:rsidRDefault="00232835" w:rsidP="00232835">
      <w:pPr>
        <w:pStyle w:val="ListParagraph"/>
        <w:numPr>
          <w:ilvl w:val="0"/>
          <w:numId w:val="5"/>
        </w:numPr>
        <w:rPr>
          <w:rFonts w:ascii="Helvetica" w:hAnsi="Helvetica"/>
        </w:rPr>
      </w:pPr>
      <w:hyperlink r:id="rId12" w:history="1">
        <w:r w:rsidRPr="00A908BF">
          <w:rPr>
            <w:rStyle w:val="Hyperlink"/>
            <w:rFonts w:ascii="Helvetica" w:hAnsi="Helvetica"/>
          </w:rPr>
          <w:t>https://www.tandfonline.com/doi/pdf/10.3109/10408367909105859</w:t>
        </w:r>
      </w:hyperlink>
    </w:p>
    <w:p w:rsidR="00232835" w:rsidRPr="00A908BF" w:rsidRDefault="00A908BF" w:rsidP="00232835">
      <w:pPr>
        <w:pStyle w:val="ListParagraph"/>
        <w:numPr>
          <w:ilvl w:val="0"/>
          <w:numId w:val="5"/>
        </w:numPr>
        <w:rPr>
          <w:rFonts w:ascii="Helvetica" w:hAnsi="Helvetica"/>
        </w:rPr>
      </w:pPr>
      <w:hyperlink r:id="rId13" w:history="1">
        <w:r w:rsidRPr="00A908BF">
          <w:rPr>
            <w:rStyle w:val="Hyperlink"/>
            <w:rFonts w:ascii="Helvetica" w:hAnsi="Helvetica"/>
          </w:rPr>
          <w:t>https://link.springer.com/article/10.1007/s12639-024-01734-7</w:t>
        </w:r>
      </w:hyperlink>
    </w:p>
    <w:p w:rsidR="00A908BF" w:rsidRDefault="00A908BF" w:rsidP="00232835">
      <w:pPr>
        <w:pStyle w:val="ListParagraph"/>
        <w:numPr>
          <w:ilvl w:val="0"/>
          <w:numId w:val="5"/>
        </w:numPr>
        <w:rPr>
          <w:rFonts w:ascii="Helvetica" w:hAnsi="Helvetica"/>
          <w:b/>
          <w:bCs/>
        </w:rPr>
      </w:pPr>
      <w:hyperlink r:id="rId14" w:history="1">
        <w:r w:rsidRPr="0058689F">
          <w:rPr>
            <w:rStyle w:val="Hyperlink"/>
            <w:rFonts w:ascii="Helvetica" w:hAnsi="Helvetica"/>
            <w:b/>
            <w:bCs/>
          </w:rPr>
          <w:t>https://journals.sagepub.com/doi/full/10.1089/bio.2010.0034</w:t>
        </w:r>
      </w:hyperlink>
    </w:p>
    <w:p w:rsidR="00A908BF" w:rsidRDefault="00A908BF" w:rsidP="00232835">
      <w:pPr>
        <w:pStyle w:val="ListParagraph"/>
        <w:numPr>
          <w:ilvl w:val="0"/>
          <w:numId w:val="5"/>
        </w:numPr>
        <w:rPr>
          <w:rFonts w:ascii="Helvetica" w:hAnsi="Helvetica"/>
          <w:b/>
          <w:bCs/>
        </w:rPr>
      </w:pPr>
      <w:hyperlink r:id="rId15" w:history="1">
        <w:r w:rsidRPr="0058689F">
          <w:rPr>
            <w:rStyle w:val="Hyperlink"/>
            <w:rFonts w:ascii="Helvetica" w:hAnsi="Helvetica"/>
            <w:b/>
            <w:bCs/>
          </w:rPr>
          <w:t>https://www.sciencedirect.com/science/article/abs/pii/S0023643815000092</w:t>
        </w:r>
      </w:hyperlink>
    </w:p>
    <w:p w:rsidR="00A908BF" w:rsidRDefault="00A908BF" w:rsidP="00232835">
      <w:pPr>
        <w:pStyle w:val="ListParagraph"/>
        <w:numPr>
          <w:ilvl w:val="0"/>
          <w:numId w:val="5"/>
        </w:numPr>
        <w:rPr>
          <w:rFonts w:ascii="Helvetica" w:hAnsi="Helvetica"/>
          <w:b/>
          <w:bCs/>
        </w:rPr>
      </w:pPr>
      <w:hyperlink r:id="rId16" w:history="1">
        <w:r w:rsidRPr="0058689F">
          <w:rPr>
            <w:rStyle w:val="Hyperlink"/>
            <w:rFonts w:ascii="Helvetica" w:hAnsi="Helvetica"/>
            <w:b/>
            <w:bCs/>
          </w:rPr>
          <w:t>https://onlinelibrary.wiley.com/doi/abs/10.1111/j.1939-165X.1995.tb00936.x</w:t>
        </w:r>
      </w:hyperlink>
    </w:p>
    <w:p w:rsidR="00A908BF" w:rsidRDefault="00A908BF" w:rsidP="00232835">
      <w:pPr>
        <w:pStyle w:val="ListParagraph"/>
        <w:numPr>
          <w:ilvl w:val="0"/>
          <w:numId w:val="5"/>
        </w:numPr>
        <w:rPr>
          <w:rFonts w:ascii="Helvetica" w:hAnsi="Helvetica"/>
          <w:b/>
          <w:bCs/>
        </w:rPr>
      </w:pPr>
      <w:hyperlink r:id="rId17" w:history="1">
        <w:r w:rsidRPr="0058689F">
          <w:rPr>
            <w:rStyle w:val="Hyperlink"/>
            <w:rFonts w:ascii="Helvetica" w:hAnsi="Helvetica"/>
            <w:b/>
            <w:bCs/>
          </w:rPr>
          <w:t>https://academic.oup.com/clinchem/article-abstract/37/7/1225/5649530</w:t>
        </w:r>
      </w:hyperlink>
    </w:p>
    <w:p w:rsidR="00A908BF" w:rsidRDefault="00A908BF" w:rsidP="00232835">
      <w:pPr>
        <w:pStyle w:val="ListParagraph"/>
        <w:numPr>
          <w:ilvl w:val="0"/>
          <w:numId w:val="5"/>
        </w:numPr>
        <w:rPr>
          <w:rFonts w:ascii="Helvetica" w:hAnsi="Helvetica"/>
          <w:b/>
          <w:bCs/>
        </w:rPr>
      </w:pPr>
      <w:hyperlink r:id="rId18" w:history="1">
        <w:r w:rsidRPr="0058689F">
          <w:rPr>
            <w:rStyle w:val="Hyperlink"/>
            <w:rFonts w:ascii="Helvetica" w:hAnsi="Helvetica"/>
            <w:b/>
            <w:bCs/>
          </w:rPr>
          <w:t>https://journals.sagepub.com/doi/full/10.1089/bio.2020.0005</w:t>
        </w:r>
      </w:hyperlink>
    </w:p>
    <w:p w:rsidR="00A908BF" w:rsidRDefault="00A908BF" w:rsidP="00232835">
      <w:pPr>
        <w:pStyle w:val="ListParagraph"/>
        <w:numPr>
          <w:ilvl w:val="0"/>
          <w:numId w:val="5"/>
        </w:numPr>
        <w:rPr>
          <w:rFonts w:ascii="Helvetica" w:hAnsi="Helvetica"/>
          <w:b/>
          <w:bCs/>
        </w:rPr>
      </w:pPr>
      <w:hyperlink r:id="rId19" w:history="1">
        <w:r w:rsidRPr="0058689F">
          <w:rPr>
            <w:rStyle w:val="Hyperlink"/>
            <w:rFonts w:ascii="Helvetica" w:hAnsi="Helvetica"/>
            <w:b/>
            <w:bCs/>
          </w:rPr>
          <w:t>https://link.springer.com/article/10.1007/BF00424310</w:t>
        </w:r>
      </w:hyperlink>
    </w:p>
    <w:p w:rsidR="00A908BF" w:rsidRDefault="00A908BF" w:rsidP="00232835">
      <w:pPr>
        <w:pStyle w:val="ListParagraph"/>
        <w:numPr>
          <w:ilvl w:val="0"/>
          <w:numId w:val="5"/>
        </w:numPr>
        <w:rPr>
          <w:rFonts w:ascii="Helvetica" w:hAnsi="Helvetica"/>
          <w:b/>
          <w:bCs/>
        </w:rPr>
      </w:pPr>
      <w:hyperlink r:id="rId20" w:history="1">
        <w:r w:rsidRPr="0058689F">
          <w:rPr>
            <w:rStyle w:val="Hyperlink"/>
            <w:rFonts w:ascii="Helvetica" w:hAnsi="Helvetica"/>
            <w:b/>
            <w:bCs/>
          </w:rPr>
          <w:t>https://www.sciencedirect.com/science/article/abs/pii/S0025619612612853</w:t>
        </w:r>
      </w:hyperlink>
    </w:p>
    <w:p w:rsidR="00A908BF" w:rsidRDefault="00A908BF" w:rsidP="00232835">
      <w:pPr>
        <w:pStyle w:val="ListParagraph"/>
        <w:numPr>
          <w:ilvl w:val="0"/>
          <w:numId w:val="5"/>
        </w:numPr>
        <w:rPr>
          <w:rFonts w:ascii="Helvetica" w:hAnsi="Helvetica"/>
          <w:b/>
          <w:bCs/>
        </w:rPr>
      </w:pPr>
      <w:hyperlink r:id="rId21" w:history="1">
        <w:r w:rsidRPr="0058689F">
          <w:rPr>
            <w:rStyle w:val="Hyperlink"/>
            <w:rFonts w:ascii="Helvetica" w:hAnsi="Helvetica"/>
            <w:b/>
            <w:bCs/>
          </w:rPr>
          <w:t>https://hrcak.srce.hr/en/clanak/143107%3F</w:t>
        </w:r>
      </w:hyperlink>
    </w:p>
    <w:p w:rsidR="00A908BF" w:rsidRDefault="00A908BF" w:rsidP="00232835">
      <w:pPr>
        <w:pStyle w:val="ListParagraph"/>
        <w:numPr>
          <w:ilvl w:val="0"/>
          <w:numId w:val="5"/>
        </w:numPr>
        <w:rPr>
          <w:rFonts w:ascii="Helvetica" w:hAnsi="Helvetica"/>
          <w:b/>
          <w:bCs/>
        </w:rPr>
      </w:pPr>
      <w:hyperlink r:id="rId22" w:history="1">
        <w:r w:rsidRPr="0058689F">
          <w:rPr>
            <w:rStyle w:val="Hyperlink"/>
            <w:rFonts w:ascii="Helvetica" w:hAnsi="Helvetica"/>
            <w:b/>
            <w:bCs/>
          </w:rPr>
          <w:t>https://www.sciencedirect.com/science/article/pii/S0022030219310124</w:t>
        </w:r>
      </w:hyperlink>
    </w:p>
    <w:p w:rsidR="00A908BF" w:rsidRDefault="00A908BF" w:rsidP="00232835">
      <w:pPr>
        <w:pStyle w:val="ListParagraph"/>
        <w:numPr>
          <w:ilvl w:val="0"/>
          <w:numId w:val="5"/>
        </w:numPr>
        <w:rPr>
          <w:rFonts w:ascii="Helvetica" w:hAnsi="Helvetica"/>
          <w:b/>
          <w:bCs/>
        </w:rPr>
      </w:pPr>
      <w:hyperlink r:id="rId23" w:history="1">
        <w:r w:rsidRPr="0058689F">
          <w:rPr>
            <w:rStyle w:val="Hyperlink"/>
            <w:rFonts w:ascii="Helvetica" w:hAnsi="Helvetica"/>
            <w:b/>
            <w:bCs/>
          </w:rPr>
          <w:t>https://pubs.rsc.org/en/content/articlelanding/1960/an/an9608500889/unauth</w:t>
        </w:r>
      </w:hyperlink>
    </w:p>
    <w:p w:rsidR="00A908BF" w:rsidRDefault="00521D77" w:rsidP="00232835">
      <w:pPr>
        <w:pStyle w:val="ListParagraph"/>
        <w:numPr>
          <w:ilvl w:val="0"/>
          <w:numId w:val="5"/>
        </w:numPr>
        <w:rPr>
          <w:rFonts w:ascii="Helvetica" w:hAnsi="Helvetica"/>
          <w:b/>
          <w:bCs/>
        </w:rPr>
      </w:pPr>
      <w:hyperlink r:id="rId24" w:history="1">
        <w:r w:rsidRPr="0058689F">
          <w:rPr>
            <w:rStyle w:val="Hyperlink"/>
            <w:rFonts w:ascii="Helvetica" w:hAnsi="Helvetica"/>
            <w:b/>
            <w:bCs/>
          </w:rPr>
          <w:t>https://academic.oup.com/clinchem/article-abstract/24/9/1545/5669706</w:t>
        </w:r>
      </w:hyperlink>
    </w:p>
    <w:p w:rsidR="00521D77" w:rsidRDefault="00521D77" w:rsidP="00232835">
      <w:pPr>
        <w:pStyle w:val="ListParagraph"/>
        <w:numPr>
          <w:ilvl w:val="0"/>
          <w:numId w:val="5"/>
        </w:numPr>
        <w:rPr>
          <w:rFonts w:ascii="Helvetica" w:hAnsi="Helvetica"/>
          <w:b/>
          <w:bCs/>
        </w:rPr>
      </w:pPr>
      <w:hyperlink r:id="rId25" w:history="1">
        <w:r w:rsidRPr="0058689F">
          <w:rPr>
            <w:rStyle w:val="Hyperlink"/>
            <w:rFonts w:ascii="Helvetica" w:hAnsi="Helvetica"/>
            <w:b/>
            <w:bCs/>
          </w:rPr>
          <w:t>https://edoc.hu-berlin.de/server/api/core/bitstreams/4a4be709-4d2e-42ab-b174-0d0297dfcd98/content</w:t>
        </w:r>
      </w:hyperlink>
    </w:p>
    <w:p w:rsidR="00521D77" w:rsidRPr="00232835" w:rsidRDefault="00521D77" w:rsidP="00232835">
      <w:pPr>
        <w:pStyle w:val="ListParagraph"/>
        <w:numPr>
          <w:ilvl w:val="0"/>
          <w:numId w:val="5"/>
        </w:numPr>
        <w:rPr>
          <w:rFonts w:ascii="Helvetica" w:hAnsi="Helvetica"/>
          <w:b/>
          <w:bCs/>
        </w:rPr>
      </w:pPr>
    </w:p>
    <w:sectPr w:rsidR="00521D77" w:rsidRPr="00232835" w:rsidSect="004731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E643E"/>
    <w:multiLevelType w:val="multilevel"/>
    <w:tmpl w:val="F91A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85BDC"/>
    <w:multiLevelType w:val="hybridMultilevel"/>
    <w:tmpl w:val="B1F46D62"/>
    <w:lvl w:ilvl="0" w:tplc="84BEEE5A">
      <w:start w:val="6"/>
      <w:numFmt w:val="bullet"/>
      <w:lvlText w:val="-"/>
      <w:lvlJc w:val="left"/>
      <w:pPr>
        <w:ind w:left="720" w:hanging="360"/>
      </w:pPr>
      <w:rPr>
        <w:rFonts w:ascii="Helvetica" w:eastAsiaTheme="minorHAnsi"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B85932"/>
    <w:multiLevelType w:val="multilevel"/>
    <w:tmpl w:val="43A80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C3A6E"/>
    <w:multiLevelType w:val="multilevel"/>
    <w:tmpl w:val="78B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B3013"/>
    <w:multiLevelType w:val="multilevel"/>
    <w:tmpl w:val="099A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340908">
    <w:abstractNumId w:val="3"/>
  </w:num>
  <w:num w:numId="2" w16cid:durableId="973870966">
    <w:abstractNumId w:val="0"/>
  </w:num>
  <w:num w:numId="3" w16cid:durableId="1552501092">
    <w:abstractNumId w:val="2"/>
  </w:num>
  <w:num w:numId="4" w16cid:durableId="1266500413">
    <w:abstractNumId w:val="4"/>
  </w:num>
  <w:num w:numId="5" w16cid:durableId="1005548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CC"/>
    <w:rsid w:val="00046985"/>
    <w:rsid w:val="00232835"/>
    <w:rsid w:val="003076DB"/>
    <w:rsid w:val="004731F5"/>
    <w:rsid w:val="00521D77"/>
    <w:rsid w:val="00940CCC"/>
    <w:rsid w:val="009A4CA5"/>
    <w:rsid w:val="00A908BF"/>
    <w:rsid w:val="00A941F8"/>
    <w:rsid w:val="00AC207E"/>
    <w:rsid w:val="00AF0A19"/>
    <w:rsid w:val="00BA6CAF"/>
    <w:rsid w:val="00C677DE"/>
    <w:rsid w:val="00D6200E"/>
    <w:rsid w:val="00DA7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3432C"/>
  <w14:defaultImageDpi w14:val="32767"/>
  <w15:chartTrackingRefBased/>
  <w15:docId w15:val="{F1F62D21-4BEA-0442-9977-752C90E1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CC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0CCC"/>
    <w:rPr>
      <w:b/>
      <w:bCs/>
    </w:rPr>
  </w:style>
  <w:style w:type="character" w:customStyle="1" w:styleId="apple-converted-space">
    <w:name w:val="apple-converted-space"/>
    <w:basedOn w:val="DefaultParagraphFont"/>
    <w:rsid w:val="00940CCC"/>
  </w:style>
  <w:style w:type="character" w:styleId="Emphasis">
    <w:name w:val="Emphasis"/>
    <w:basedOn w:val="DefaultParagraphFont"/>
    <w:uiPriority w:val="20"/>
    <w:qFormat/>
    <w:rsid w:val="00940CCC"/>
    <w:rPr>
      <w:i/>
      <w:iCs/>
    </w:rPr>
  </w:style>
  <w:style w:type="character" w:styleId="Hyperlink">
    <w:name w:val="Hyperlink"/>
    <w:basedOn w:val="DefaultParagraphFont"/>
    <w:uiPriority w:val="99"/>
    <w:unhideWhenUsed/>
    <w:rsid w:val="00940CCC"/>
    <w:rPr>
      <w:color w:val="0000FF"/>
      <w:u w:val="single"/>
    </w:rPr>
  </w:style>
  <w:style w:type="paragraph" w:styleId="ListParagraph">
    <w:name w:val="List Paragraph"/>
    <w:basedOn w:val="Normal"/>
    <w:uiPriority w:val="34"/>
    <w:qFormat/>
    <w:rsid w:val="00232835"/>
    <w:pPr>
      <w:ind w:left="720"/>
      <w:contextualSpacing/>
    </w:pPr>
  </w:style>
  <w:style w:type="character" w:styleId="UnresolvedMention">
    <w:name w:val="Unresolved Mention"/>
    <w:basedOn w:val="DefaultParagraphFont"/>
    <w:uiPriority w:val="99"/>
    <w:rsid w:val="00232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17849">
      <w:bodyDiv w:val="1"/>
      <w:marLeft w:val="0"/>
      <w:marRight w:val="0"/>
      <w:marTop w:val="0"/>
      <w:marBottom w:val="0"/>
      <w:divBdr>
        <w:top w:val="none" w:sz="0" w:space="0" w:color="auto"/>
        <w:left w:val="none" w:sz="0" w:space="0" w:color="auto"/>
        <w:bottom w:val="none" w:sz="0" w:space="0" w:color="auto"/>
        <w:right w:val="none" w:sz="0" w:space="0" w:color="auto"/>
      </w:divBdr>
      <w:divsChild>
        <w:div w:id="1520511059">
          <w:marLeft w:val="0"/>
          <w:marRight w:val="0"/>
          <w:marTop w:val="0"/>
          <w:marBottom w:val="0"/>
          <w:divBdr>
            <w:top w:val="none" w:sz="0" w:space="0" w:color="auto"/>
            <w:left w:val="none" w:sz="0" w:space="0" w:color="auto"/>
            <w:bottom w:val="none" w:sz="0" w:space="0" w:color="auto"/>
            <w:right w:val="none" w:sz="0" w:space="0" w:color="auto"/>
          </w:divBdr>
          <w:divsChild>
            <w:div w:id="281230857">
              <w:marLeft w:val="0"/>
              <w:marRight w:val="0"/>
              <w:marTop w:val="0"/>
              <w:marBottom w:val="0"/>
              <w:divBdr>
                <w:top w:val="none" w:sz="0" w:space="0" w:color="auto"/>
                <w:left w:val="none" w:sz="0" w:space="0" w:color="auto"/>
                <w:bottom w:val="none" w:sz="0" w:space="0" w:color="auto"/>
                <w:right w:val="none" w:sz="0" w:space="0" w:color="auto"/>
              </w:divBdr>
            </w:div>
            <w:div w:id="1898667830">
              <w:marLeft w:val="0"/>
              <w:marRight w:val="0"/>
              <w:marTop w:val="0"/>
              <w:marBottom w:val="0"/>
              <w:divBdr>
                <w:top w:val="none" w:sz="0" w:space="0" w:color="auto"/>
                <w:left w:val="none" w:sz="0" w:space="0" w:color="auto"/>
                <w:bottom w:val="none" w:sz="0" w:space="0" w:color="auto"/>
                <w:right w:val="none" w:sz="0" w:space="0" w:color="auto"/>
              </w:divBdr>
            </w:div>
            <w:div w:id="1216507170">
              <w:marLeft w:val="0"/>
              <w:marRight w:val="0"/>
              <w:marTop w:val="0"/>
              <w:marBottom w:val="0"/>
              <w:divBdr>
                <w:top w:val="none" w:sz="0" w:space="0" w:color="auto"/>
                <w:left w:val="none" w:sz="0" w:space="0" w:color="auto"/>
                <w:bottom w:val="none" w:sz="0" w:space="0" w:color="auto"/>
                <w:right w:val="none" w:sz="0" w:space="0" w:color="auto"/>
              </w:divBdr>
            </w:div>
            <w:div w:id="1783303497">
              <w:marLeft w:val="0"/>
              <w:marRight w:val="0"/>
              <w:marTop w:val="0"/>
              <w:marBottom w:val="0"/>
              <w:divBdr>
                <w:top w:val="none" w:sz="0" w:space="0" w:color="auto"/>
                <w:left w:val="none" w:sz="0" w:space="0" w:color="auto"/>
                <w:bottom w:val="none" w:sz="0" w:space="0" w:color="auto"/>
                <w:right w:val="none" w:sz="0" w:space="0" w:color="auto"/>
              </w:divBdr>
            </w:div>
            <w:div w:id="830563670">
              <w:marLeft w:val="0"/>
              <w:marRight w:val="0"/>
              <w:marTop w:val="0"/>
              <w:marBottom w:val="0"/>
              <w:divBdr>
                <w:top w:val="none" w:sz="0" w:space="0" w:color="auto"/>
                <w:left w:val="none" w:sz="0" w:space="0" w:color="auto"/>
                <w:bottom w:val="none" w:sz="0" w:space="0" w:color="auto"/>
                <w:right w:val="none" w:sz="0" w:space="0" w:color="auto"/>
              </w:divBdr>
            </w:div>
            <w:div w:id="794983111">
              <w:marLeft w:val="0"/>
              <w:marRight w:val="0"/>
              <w:marTop w:val="0"/>
              <w:marBottom w:val="0"/>
              <w:divBdr>
                <w:top w:val="none" w:sz="0" w:space="0" w:color="auto"/>
                <w:left w:val="none" w:sz="0" w:space="0" w:color="auto"/>
                <w:bottom w:val="none" w:sz="0" w:space="0" w:color="auto"/>
                <w:right w:val="none" w:sz="0" w:space="0" w:color="auto"/>
              </w:divBdr>
            </w:div>
            <w:div w:id="1049573948">
              <w:marLeft w:val="0"/>
              <w:marRight w:val="0"/>
              <w:marTop w:val="0"/>
              <w:marBottom w:val="0"/>
              <w:divBdr>
                <w:top w:val="none" w:sz="0" w:space="0" w:color="auto"/>
                <w:left w:val="none" w:sz="0" w:space="0" w:color="auto"/>
                <w:bottom w:val="none" w:sz="0" w:space="0" w:color="auto"/>
                <w:right w:val="none" w:sz="0" w:space="0" w:color="auto"/>
              </w:divBdr>
            </w:div>
            <w:div w:id="537207430">
              <w:marLeft w:val="0"/>
              <w:marRight w:val="0"/>
              <w:marTop w:val="0"/>
              <w:marBottom w:val="0"/>
              <w:divBdr>
                <w:top w:val="none" w:sz="0" w:space="0" w:color="auto"/>
                <w:left w:val="none" w:sz="0" w:space="0" w:color="auto"/>
                <w:bottom w:val="none" w:sz="0" w:space="0" w:color="auto"/>
                <w:right w:val="none" w:sz="0" w:space="0" w:color="auto"/>
              </w:divBdr>
            </w:div>
            <w:div w:id="2679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9243">
      <w:bodyDiv w:val="1"/>
      <w:marLeft w:val="0"/>
      <w:marRight w:val="0"/>
      <w:marTop w:val="0"/>
      <w:marBottom w:val="0"/>
      <w:divBdr>
        <w:top w:val="none" w:sz="0" w:space="0" w:color="auto"/>
        <w:left w:val="none" w:sz="0" w:space="0" w:color="auto"/>
        <w:bottom w:val="none" w:sz="0" w:space="0" w:color="auto"/>
        <w:right w:val="none" w:sz="0" w:space="0" w:color="auto"/>
      </w:divBdr>
    </w:div>
    <w:div w:id="866794763">
      <w:bodyDiv w:val="1"/>
      <w:marLeft w:val="0"/>
      <w:marRight w:val="0"/>
      <w:marTop w:val="0"/>
      <w:marBottom w:val="0"/>
      <w:divBdr>
        <w:top w:val="none" w:sz="0" w:space="0" w:color="auto"/>
        <w:left w:val="none" w:sz="0" w:space="0" w:color="auto"/>
        <w:bottom w:val="none" w:sz="0" w:space="0" w:color="auto"/>
        <w:right w:val="none" w:sz="0" w:space="0" w:color="auto"/>
      </w:divBdr>
    </w:div>
    <w:div w:id="953366645">
      <w:bodyDiv w:val="1"/>
      <w:marLeft w:val="0"/>
      <w:marRight w:val="0"/>
      <w:marTop w:val="0"/>
      <w:marBottom w:val="0"/>
      <w:divBdr>
        <w:top w:val="none" w:sz="0" w:space="0" w:color="auto"/>
        <w:left w:val="none" w:sz="0" w:space="0" w:color="auto"/>
        <w:bottom w:val="none" w:sz="0" w:space="0" w:color="auto"/>
        <w:right w:val="none" w:sz="0" w:space="0" w:color="auto"/>
      </w:divBdr>
    </w:div>
    <w:div w:id="97452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59752.html" TargetMode="External"/><Relationship Id="rId13" Type="http://schemas.openxmlformats.org/officeDocument/2006/relationships/hyperlink" Target="https://link.springer.com/article/10.1007/s12639-024-01734-7" TargetMode="External"/><Relationship Id="rId18" Type="http://schemas.openxmlformats.org/officeDocument/2006/relationships/hyperlink" Target="https://journals.sagepub.com/doi/full/10.1089/bio.2020.000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rcak.srce.hr/en/clanak/143107%3F" TargetMode="External"/><Relationship Id="rId7" Type="http://schemas.openxmlformats.org/officeDocument/2006/relationships/hyperlink" Target="https://www.rolandberger.com/en/Insights/Publications/Opportunities-challenges-in-new-regulations-of-forever-chemicals.html" TargetMode="External"/><Relationship Id="rId12" Type="http://schemas.openxmlformats.org/officeDocument/2006/relationships/hyperlink" Target="https://www.tandfonline.com/doi/pdf/10.3109/10408367909105859" TargetMode="External"/><Relationship Id="rId17" Type="http://schemas.openxmlformats.org/officeDocument/2006/relationships/hyperlink" Target="https://academic.oup.com/clinchem/article-abstract/37/7/1225/5649530" TargetMode="External"/><Relationship Id="rId25" Type="http://schemas.openxmlformats.org/officeDocument/2006/relationships/hyperlink" Target="https://edoc.hu-berlin.de/server/api/core/bitstreams/4a4be709-4d2e-42ab-b174-0d0297dfcd98/content" TargetMode="External"/><Relationship Id="rId2" Type="http://schemas.openxmlformats.org/officeDocument/2006/relationships/styles" Target="styles.xml"/><Relationship Id="rId16" Type="http://schemas.openxmlformats.org/officeDocument/2006/relationships/hyperlink" Target="https://onlinelibrary.wiley.com/doi/abs/10.1111/j.1939-165X.1995.tb00936.x" TargetMode="External"/><Relationship Id="rId20" Type="http://schemas.openxmlformats.org/officeDocument/2006/relationships/hyperlink" Target="https://www.sciencedirect.com/science/article/abs/pii/S0025619612612853" TargetMode="External"/><Relationship Id="rId1" Type="http://schemas.openxmlformats.org/officeDocument/2006/relationships/numbering" Target="numbering.xml"/><Relationship Id="rId6" Type="http://schemas.openxmlformats.org/officeDocument/2006/relationships/hyperlink" Target="https://environment.ec.europa.eu/topics/chemicals/reach-regulation_en" TargetMode="External"/><Relationship Id="rId11" Type="http://schemas.openxmlformats.org/officeDocument/2006/relationships/hyperlink" Target="https://en.wikipedia.org/wiki/Technology_readiness_level" TargetMode="External"/><Relationship Id="rId24" Type="http://schemas.openxmlformats.org/officeDocument/2006/relationships/hyperlink" Target="https://academic.oup.com/clinchem/article-abstract/24/9/1545/5669706" TargetMode="External"/><Relationship Id="rId5" Type="http://schemas.openxmlformats.org/officeDocument/2006/relationships/hyperlink" Target="https://www.iso.org/standard/59752.html" TargetMode="External"/><Relationship Id="rId15" Type="http://schemas.openxmlformats.org/officeDocument/2006/relationships/hyperlink" Target="https://www.sciencedirect.com/science/article/abs/pii/S0023643815000092" TargetMode="External"/><Relationship Id="rId23" Type="http://schemas.openxmlformats.org/officeDocument/2006/relationships/hyperlink" Target="https://pubs.rsc.org/en/content/articlelanding/1960/an/an9608500889/unauth" TargetMode="External"/><Relationship Id="rId10" Type="http://schemas.openxmlformats.org/officeDocument/2006/relationships/hyperlink" Target="https://www.rolandberger.com/en/Insights/Publications/Opportunities-challenges-in-new-regulations-of-forever-chemicals.html" TargetMode="External"/><Relationship Id="rId19" Type="http://schemas.openxmlformats.org/officeDocument/2006/relationships/hyperlink" Target="https://link.springer.com/article/10.1007/BF00424310" TargetMode="External"/><Relationship Id="rId4" Type="http://schemas.openxmlformats.org/officeDocument/2006/relationships/webSettings" Target="webSettings.xml"/><Relationship Id="rId9" Type="http://schemas.openxmlformats.org/officeDocument/2006/relationships/hyperlink" Target="https://environment.ec.europa.eu/topics/chemicals/reach-regulation_en" TargetMode="External"/><Relationship Id="rId14" Type="http://schemas.openxmlformats.org/officeDocument/2006/relationships/hyperlink" Target="https://journals.sagepub.com/doi/full/10.1089/bio.2010.0034" TargetMode="External"/><Relationship Id="rId22" Type="http://schemas.openxmlformats.org/officeDocument/2006/relationships/hyperlink" Target="https://www.sciencedirect.com/science/article/pii/S002203021931012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Edimaobong Udo</dc:creator>
  <cp:keywords/>
  <dc:description/>
  <cp:lastModifiedBy>Edimaobong Udo</cp:lastModifiedBy>
  <cp:revision>3</cp:revision>
  <dcterms:created xsi:type="dcterms:W3CDTF">2026-04-24T14:52:00Z</dcterms:created>
  <dcterms:modified xsi:type="dcterms:W3CDTF">2026-04-24T15:08:00Z</dcterms:modified>
</cp:coreProperties>
</file>