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3F4F" w:rsidRPr="0078556D" w:rsidRDefault="00505A3B" w:rsidP="0078556D">
      <w:pPr>
        <w:spacing w:line="360" w:lineRule="auto"/>
        <w:jc w:val="center"/>
        <w:rPr>
          <w:rFonts w:ascii="Helvetica" w:hAnsi="Helvetica"/>
          <w:b/>
          <w:bCs/>
          <w:color w:val="000000"/>
          <w:sz w:val="36"/>
          <w:szCs w:val="36"/>
        </w:rPr>
      </w:pPr>
      <w:r w:rsidRPr="0078556D">
        <w:rPr>
          <w:rFonts w:ascii="Helvetica" w:hAnsi="Helvetica"/>
          <w:b/>
          <w:bCs/>
          <w:color w:val="000000"/>
          <w:sz w:val="36"/>
          <w:szCs w:val="36"/>
        </w:rPr>
        <w:t>Lignin-PUD Hybrids for Sustainable Floor Care</w:t>
      </w:r>
    </w:p>
    <w:p w:rsidR="00505A3B" w:rsidRPr="0078556D" w:rsidRDefault="00505A3B" w:rsidP="0078556D">
      <w:pPr>
        <w:spacing w:line="360" w:lineRule="auto"/>
        <w:jc w:val="center"/>
        <w:rPr>
          <w:rFonts w:ascii="Helvetica" w:hAnsi="Helvetica"/>
          <w:b/>
          <w:bCs/>
          <w:color w:val="000000"/>
          <w:sz w:val="27"/>
          <w:szCs w:val="27"/>
        </w:rPr>
      </w:pPr>
    </w:p>
    <w:p w:rsidR="00505A3B" w:rsidRPr="0078556D" w:rsidRDefault="00505A3B" w:rsidP="0078556D">
      <w:pPr>
        <w:spacing w:line="36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78556D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14:ligatures w14:val="none"/>
        </w:rPr>
        <w:t>Problem Statement &amp; Key Constraints</w:t>
      </w:r>
    </w:p>
    <w:p w:rsidR="00505A3B" w:rsidRPr="0078556D" w:rsidRDefault="00505A3B" w:rsidP="0078556D">
      <w:pPr>
        <w:spacing w:line="36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78556D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Industrial floor care must balance mechanical toughness with ease of removal. Traditional Acrylics achieve this via non-degradable C-C bonds, creating an environmental liability. Key constraints include the softness of bio-resins, the chemical instability of acidic lignin in alkaline dispersions, and the market requirement for high-speed </w:t>
      </w:r>
      <w:proofErr w:type="spellStart"/>
      <w:r w:rsidRPr="0078556D">
        <w:rPr>
          <w:rFonts w:ascii="Helvetica" w:eastAsia="Times New Roman" w:hAnsi="Helvetica" w:cs="Times New Roman"/>
          <w:color w:val="000000"/>
          <w:kern w:val="0"/>
          <w14:ligatures w14:val="none"/>
        </w:rPr>
        <w:t>burnishability</w:t>
      </w:r>
      <w:proofErr w:type="spellEnd"/>
      <w:r w:rsidRPr="0078556D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78556D" w:rsidRDefault="0078556D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</w:p>
    <w:p w:rsidR="00505A3B" w:rsidRPr="0078556D" w:rsidRDefault="00505A3B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  <w:r w:rsidRPr="0078556D">
        <w:rPr>
          <w:rFonts w:ascii="Helvetica" w:hAnsi="Helvetica"/>
          <w:color w:val="000000"/>
          <w:sz w:val="32"/>
          <w:szCs w:val="32"/>
        </w:rPr>
        <w:t>Solution Architecture</w:t>
      </w:r>
    </w:p>
    <w:p w:rsidR="00505A3B" w:rsidRPr="0078556D" w:rsidRDefault="00505A3B" w:rsidP="0078556D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color w:val="000000"/>
        </w:rPr>
        <w:t>The Green-Armor architecture employs a three-tier design:</w:t>
      </w:r>
    </w:p>
    <w:p w:rsidR="00505A3B" w:rsidRPr="0078556D" w:rsidRDefault="00505A3B" w:rsidP="0078556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Bio-PUD Matrix:</w:t>
      </w:r>
      <w:r w:rsidRPr="0078556D">
        <w:rPr>
          <w:rStyle w:val="apple-converted-space"/>
          <w:rFonts w:ascii="Helvetica" w:eastAsiaTheme="majorEastAsi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Provides the adhesive scaffold and flexibility.</w:t>
      </w:r>
    </w:p>
    <w:p w:rsidR="00505A3B" w:rsidRPr="0078556D" w:rsidRDefault="00505A3B" w:rsidP="0078556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Lignin Rebar:</w:t>
      </w:r>
      <w:r w:rsidRPr="0078556D">
        <w:rPr>
          <w:rStyle w:val="apple-converted-space"/>
          <w:rFonts w:ascii="Helvetica" w:eastAsiaTheme="majorEastAsi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Colloidal Lignin Particles (CLP) provide aromatic hardness, increasing the modulus to match synthetic styrene-acrylics.</w:t>
      </w:r>
    </w:p>
    <w:p w:rsidR="00505A3B" w:rsidRPr="0078556D" w:rsidRDefault="00505A3B" w:rsidP="0078556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Slip-Sheet:</w:t>
      </w:r>
      <w:r w:rsidRPr="0078556D">
        <w:rPr>
          <w:rStyle w:val="apple-converted-space"/>
          <w:rFonts w:ascii="Helvetica" w:eastAsiaTheme="majorEastAsi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A carnauba-wax nano-emulsion migrates to the surface, protecting the primary scaffold from burnisher heat.</w:t>
      </w:r>
    </w:p>
    <w:p w:rsidR="0078556D" w:rsidRDefault="0078556D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</w:p>
    <w:p w:rsidR="00505A3B" w:rsidRPr="0078556D" w:rsidRDefault="00505A3B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  <w:r w:rsidRPr="0078556D">
        <w:rPr>
          <w:rFonts w:ascii="Helvetica" w:hAnsi="Helvetica"/>
          <w:color w:val="000000"/>
          <w:sz w:val="32"/>
          <w:szCs w:val="32"/>
        </w:rPr>
        <w:t>Technical Implementation: Stabilization &amp; Removability</w:t>
      </w:r>
    </w:p>
    <w:p w:rsidR="00505A3B" w:rsidRPr="0078556D" w:rsidRDefault="00505A3B" w:rsidP="0078556D">
      <w:pPr>
        <w:pStyle w:val="Heading3"/>
        <w:spacing w:before="0" w:line="360" w:lineRule="auto"/>
        <w:rPr>
          <w:rFonts w:ascii="Helvetica" w:hAnsi="Helvetica"/>
          <w:b/>
          <w:bCs/>
          <w:color w:val="000000"/>
          <w:sz w:val="28"/>
          <w:szCs w:val="28"/>
        </w:rPr>
      </w:pPr>
      <w:r w:rsidRPr="0078556D">
        <w:rPr>
          <w:rFonts w:ascii="Helvetica" w:hAnsi="Helvetica"/>
          <w:b/>
          <w:bCs/>
          <w:color w:val="000000"/>
          <w:sz w:val="28"/>
          <w:szCs w:val="28"/>
        </w:rPr>
        <w:t>Stabilization</w:t>
      </w:r>
    </w:p>
    <w:p w:rsidR="00505A3B" w:rsidRPr="0078556D" w:rsidRDefault="00505A3B" w:rsidP="0078556D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color w:val="000000"/>
        </w:rPr>
        <w:t>The "Acidity Gap" between lignin and PUD was solved through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Tertiary Amine Titration</w:t>
      </w:r>
      <w:r w:rsidRPr="0078556D">
        <w:rPr>
          <w:rFonts w:ascii="Helvetica" w:hAnsi="Helvetica"/>
          <w:color w:val="000000"/>
        </w:rPr>
        <w:t>. This ensures the lignin hydroxyls are neutralized, maintaining a stable anionic charge across the hybrid system and preventing sedimentation during storage.</w:t>
      </w:r>
    </w:p>
    <w:p w:rsidR="0078556D" w:rsidRDefault="0078556D" w:rsidP="0078556D">
      <w:pPr>
        <w:pStyle w:val="Heading3"/>
        <w:spacing w:before="0" w:line="360" w:lineRule="auto"/>
        <w:rPr>
          <w:rFonts w:ascii="Helvetica" w:hAnsi="Helvetica"/>
          <w:color w:val="000000"/>
          <w:sz w:val="28"/>
          <w:szCs w:val="28"/>
        </w:rPr>
      </w:pPr>
    </w:p>
    <w:p w:rsidR="00505A3B" w:rsidRPr="0078556D" w:rsidRDefault="00505A3B" w:rsidP="0078556D">
      <w:pPr>
        <w:pStyle w:val="Heading3"/>
        <w:spacing w:before="0" w:line="360" w:lineRule="auto"/>
        <w:rPr>
          <w:rFonts w:ascii="Helvetica" w:hAnsi="Helvetica"/>
          <w:b/>
          <w:bCs/>
          <w:color w:val="000000"/>
          <w:sz w:val="28"/>
          <w:szCs w:val="28"/>
        </w:rPr>
      </w:pPr>
      <w:r w:rsidRPr="0078556D">
        <w:rPr>
          <w:rFonts w:ascii="Helvetica" w:hAnsi="Helvetica"/>
          <w:b/>
          <w:bCs/>
          <w:color w:val="000000"/>
          <w:sz w:val="28"/>
          <w:szCs w:val="28"/>
        </w:rPr>
        <w:t>Removability &amp; Stripping Protocol</w:t>
      </w:r>
    </w:p>
    <w:p w:rsidR="00505A3B" w:rsidRPr="0078556D" w:rsidRDefault="00505A3B" w:rsidP="0078556D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color w:val="000000"/>
        </w:rPr>
        <w:t>To ensure the solution meets professional maintenance standards, a high-pH swelling mechanism was designed:</w:t>
      </w:r>
    </w:p>
    <w:p w:rsidR="00505A3B" w:rsidRPr="0078556D" w:rsidRDefault="00505A3B" w:rsidP="0078556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lastRenderedPageBreak/>
        <w:t>The Mechanism: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Alkanolamines (pH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Style w:val="mord"/>
          <w:rFonts w:ascii="Helvetica" w:hAnsi="Helvetica"/>
          <w:color w:val="000000"/>
        </w:rPr>
        <w:t>11.5</w:t>
      </w:r>
      <w:r w:rsidRPr="0078556D">
        <w:rPr>
          <w:rStyle w:val="mbin"/>
          <w:rFonts w:ascii="Helvetica" w:hAnsi="Helvetica"/>
          <w:color w:val="000000"/>
        </w:rPr>
        <w:t>−</w:t>
      </w:r>
      <w:r w:rsidRPr="0078556D">
        <w:rPr>
          <w:rStyle w:val="mord"/>
          <w:rFonts w:ascii="Helvetica" w:hAnsi="Helvetica"/>
          <w:color w:val="000000"/>
        </w:rPr>
        <w:t>12.5</w:t>
      </w:r>
      <w:r w:rsidRPr="0078556D">
        <w:rPr>
          <w:rFonts w:ascii="Helvetica" w:hAnsi="Helvetica"/>
          <w:color w:val="000000"/>
        </w:rPr>
        <w:t>) are used to hydrate and swell the urethane-lignin linkages, breaking the adhesion to the substrate.</w:t>
      </w:r>
    </w:p>
    <w:p w:rsidR="00505A3B" w:rsidRPr="0078556D" w:rsidRDefault="00505A3B" w:rsidP="0078556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The Protocol: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Apply a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1:4 dilution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of high-alkaline stripper with a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10-minute dwell time</w:t>
      </w:r>
      <w:r w:rsidRPr="0078556D">
        <w:rPr>
          <w:rFonts w:ascii="Helvetica" w:hAnsi="Helvetica"/>
          <w:color w:val="000000"/>
        </w:rPr>
        <w:t>, followed by mechanical agitation with a black stripping pad.</w:t>
      </w:r>
    </w:p>
    <w:p w:rsidR="0078556D" w:rsidRDefault="0078556D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</w:p>
    <w:p w:rsidR="0078556D" w:rsidRPr="0078556D" w:rsidRDefault="0078556D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  <w:r w:rsidRPr="0078556D">
        <w:rPr>
          <w:rFonts w:ascii="Helvetica" w:hAnsi="Helvetica"/>
          <w:color w:val="000000"/>
          <w:sz w:val="32"/>
          <w:szCs w:val="32"/>
        </w:rPr>
        <w:t>Economic Model &amp; Funding Timeline</w:t>
      </w:r>
    </w:p>
    <w:p w:rsidR="0078556D" w:rsidRPr="0078556D" w:rsidRDefault="0078556D" w:rsidP="0078556D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color w:val="000000"/>
        </w:rPr>
        <w:t>The cost-to-market is anchored in a 15-month R&amp;D cycle.</w:t>
      </w:r>
    </w:p>
    <w:p w:rsidR="0078556D" w:rsidRDefault="0078556D" w:rsidP="0078556D">
      <w:pPr>
        <w:pStyle w:val="Heading3"/>
        <w:spacing w:before="0" w:line="360" w:lineRule="auto"/>
        <w:rPr>
          <w:rFonts w:ascii="Helvetica" w:hAnsi="Helvetica"/>
          <w:b/>
          <w:bCs/>
          <w:color w:val="000000"/>
          <w:sz w:val="28"/>
          <w:szCs w:val="28"/>
        </w:rPr>
      </w:pPr>
    </w:p>
    <w:p w:rsidR="0078556D" w:rsidRPr="0078556D" w:rsidRDefault="0078556D" w:rsidP="0078556D">
      <w:pPr>
        <w:pStyle w:val="Heading3"/>
        <w:spacing w:before="0" w:line="360" w:lineRule="auto"/>
        <w:rPr>
          <w:rFonts w:ascii="Helvetica" w:hAnsi="Helvetica"/>
          <w:b/>
          <w:bCs/>
          <w:color w:val="000000"/>
          <w:sz w:val="28"/>
          <w:szCs w:val="28"/>
        </w:rPr>
      </w:pPr>
      <w:r w:rsidRPr="0078556D">
        <w:rPr>
          <w:rFonts w:ascii="Helvetica" w:hAnsi="Helvetica"/>
          <w:b/>
          <w:bCs/>
          <w:color w:val="000000"/>
          <w:sz w:val="28"/>
          <w:szCs w:val="28"/>
        </w:rPr>
        <w:t>Calculation Basis &amp; Links</w:t>
      </w:r>
    </w:p>
    <w:p w:rsidR="0078556D" w:rsidRPr="0078556D" w:rsidRDefault="0078556D" w:rsidP="0078556D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color w:val="000000"/>
        </w:rPr>
        <w:t>The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$9.22/kg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concentrate cost is a weighted average of:</w:t>
      </w:r>
    </w:p>
    <w:p w:rsidR="0078556D" w:rsidRPr="0078556D" w:rsidRDefault="0078556D" w:rsidP="0078556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Binder (Bio-PUD):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$16.50/kg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(45% of formula).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hyperlink r:id="rId5" w:tgtFrame="_blank" w:history="1">
        <w:r w:rsidRPr="0078556D">
          <w:rPr>
            <w:rStyle w:val="Hyperlink"/>
            <w:rFonts w:ascii="Helvetica" w:hAnsi="Helvetica"/>
          </w:rPr>
          <w:t>2026 Polyol Index</w:t>
        </w:r>
      </w:hyperlink>
      <w:r w:rsidRPr="0078556D">
        <w:rPr>
          <w:rFonts w:ascii="Helvetica" w:hAnsi="Helvetica"/>
          <w:color w:val="000000"/>
        </w:rPr>
        <w:t>.</w:t>
      </w:r>
    </w:p>
    <w:p w:rsidR="0078556D" w:rsidRPr="0078556D" w:rsidRDefault="0078556D" w:rsidP="0078556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Hardener (Lignin):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$1.25/kg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(30% of formula).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hyperlink r:id="rId6" w:tgtFrame="_blank" w:history="1">
        <w:r w:rsidRPr="0078556D">
          <w:rPr>
            <w:rStyle w:val="Hyperlink"/>
            <w:rFonts w:ascii="Helvetica" w:hAnsi="Helvetica"/>
          </w:rPr>
          <w:t>Fortune Business Insights Lignin Report</w:t>
        </w:r>
      </w:hyperlink>
      <w:r w:rsidRPr="0078556D">
        <w:rPr>
          <w:rFonts w:ascii="Helvetica" w:hAnsi="Helvetica"/>
          <w:color w:val="000000"/>
        </w:rPr>
        <w:t>.</w:t>
      </w:r>
    </w:p>
    <w:p w:rsidR="0078556D" w:rsidRPr="0078556D" w:rsidRDefault="0078556D" w:rsidP="0078556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Additives/Water: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$0.45/kg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(25% of formula).</w:t>
      </w:r>
    </w:p>
    <w:p w:rsidR="0078556D" w:rsidRDefault="0078556D" w:rsidP="0078556D">
      <w:pPr>
        <w:pStyle w:val="Heading3"/>
        <w:spacing w:before="0" w:line="360" w:lineRule="auto"/>
        <w:rPr>
          <w:rFonts w:ascii="Helvetica" w:hAnsi="Helvetica"/>
          <w:color w:val="000000"/>
          <w:sz w:val="28"/>
          <w:szCs w:val="28"/>
        </w:rPr>
      </w:pPr>
    </w:p>
    <w:p w:rsidR="0078556D" w:rsidRPr="0078556D" w:rsidRDefault="0078556D" w:rsidP="0078556D">
      <w:pPr>
        <w:pStyle w:val="Heading3"/>
        <w:spacing w:before="0" w:line="360" w:lineRule="auto"/>
        <w:rPr>
          <w:rFonts w:ascii="Helvetica" w:hAnsi="Helvetica"/>
          <w:b/>
          <w:bCs/>
          <w:color w:val="000000"/>
          <w:sz w:val="28"/>
          <w:szCs w:val="28"/>
        </w:rPr>
      </w:pPr>
      <w:r w:rsidRPr="0078556D">
        <w:rPr>
          <w:rFonts w:ascii="Helvetica" w:hAnsi="Helvetica"/>
          <w:b/>
          <w:bCs/>
          <w:color w:val="000000"/>
          <w:sz w:val="28"/>
          <w:szCs w:val="28"/>
        </w:rPr>
        <w:t>Investment Timeline ($110,000 Total)</w:t>
      </w:r>
    </w:p>
    <w:p w:rsidR="0078556D" w:rsidRPr="0078556D" w:rsidRDefault="0078556D" w:rsidP="0078556D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Months 1–4 ($25k):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Stabilization &amp; pH validation (Gate 1).</w:t>
      </w:r>
    </w:p>
    <w:p w:rsidR="0078556D" w:rsidRPr="0078556D" w:rsidRDefault="0078556D" w:rsidP="0078556D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Months 5–10 ($45k):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ASTM Performance Testing (Hardness/Abrasion/Slip).</w:t>
      </w:r>
    </w:p>
    <w:p w:rsidR="0078556D" w:rsidRPr="0078556D" w:rsidRDefault="0078556D" w:rsidP="0078556D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b/>
          <w:bCs/>
          <w:color w:val="000000"/>
        </w:rPr>
        <w:t>Months 11–15 ($40k):</w:t>
      </w:r>
      <w:r w:rsidRPr="0078556D">
        <w:rPr>
          <w:rStyle w:val="apple-converted-space"/>
          <w:rFonts w:ascii="Helvetic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Field Pilots and Regulatory Certification.</w:t>
      </w:r>
    </w:p>
    <w:p w:rsidR="0078556D" w:rsidRDefault="0078556D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</w:p>
    <w:p w:rsidR="0078556D" w:rsidRPr="0078556D" w:rsidRDefault="0078556D" w:rsidP="0078556D">
      <w:pPr>
        <w:pStyle w:val="Heading2"/>
        <w:spacing w:before="0" w:beforeAutospacing="0" w:after="0" w:afterAutospacing="0" w:line="360" w:lineRule="auto"/>
        <w:rPr>
          <w:rFonts w:ascii="Helvetica" w:hAnsi="Helvetica"/>
          <w:color w:val="000000"/>
          <w:sz w:val="32"/>
          <w:szCs w:val="32"/>
        </w:rPr>
      </w:pPr>
      <w:r w:rsidRPr="0078556D">
        <w:rPr>
          <w:rFonts w:ascii="Helvetica" w:hAnsi="Helvetica"/>
          <w:color w:val="000000"/>
          <w:sz w:val="32"/>
          <w:szCs w:val="32"/>
        </w:rPr>
        <w:t>Technology Readiness Level (TRL) 5 Justification</w:t>
      </w:r>
    </w:p>
    <w:p w:rsidR="0078556D" w:rsidRPr="0078556D" w:rsidRDefault="0078556D" w:rsidP="0078556D">
      <w:pPr>
        <w:pStyle w:val="NormalWeb"/>
        <w:spacing w:before="0" w:beforeAutospacing="0" w:after="0" w:afterAutospacing="0" w:line="360" w:lineRule="auto"/>
        <w:rPr>
          <w:rFonts w:ascii="Helvetica" w:hAnsi="Helvetica"/>
          <w:color w:val="000000"/>
        </w:rPr>
      </w:pPr>
      <w:r w:rsidRPr="0078556D">
        <w:rPr>
          <w:rFonts w:ascii="Helvetica" w:hAnsi="Helvetica"/>
          <w:color w:val="000000"/>
        </w:rPr>
        <w:t>The project is at TRL 5 because the</w:t>
      </w:r>
      <w:r w:rsidRPr="0078556D">
        <w:rPr>
          <w:rStyle w:val="apple-converted-space"/>
          <w:rFonts w:ascii="Helvetica" w:eastAsiaTheme="majorEastAsi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system-level synergy</w:t>
      </w:r>
      <w:r w:rsidRPr="0078556D">
        <w:rPr>
          <w:rStyle w:val="apple-converted-space"/>
          <w:rFonts w:ascii="Helvetica" w:eastAsiaTheme="majorEastAsi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has been validated. By utilizing the</w:t>
      </w:r>
      <w:r w:rsidRPr="0078556D">
        <w:rPr>
          <w:rStyle w:val="apple-converted-space"/>
          <w:rFonts w:ascii="Helvetica" w:eastAsiaTheme="majorEastAsia" w:hAnsi="Helvetica"/>
          <w:color w:val="000000"/>
        </w:rPr>
        <w:t> </w:t>
      </w:r>
      <w:r w:rsidRPr="0078556D">
        <w:rPr>
          <w:rFonts w:ascii="Helvetica" w:hAnsi="Helvetica"/>
          <w:b/>
          <w:bCs/>
          <w:color w:val="000000"/>
        </w:rPr>
        <w:t>First-Mix Data Sheet</w:t>
      </w:r>
      <w:r w:rsidRPr="0078556D">
        <w:rPr>
          <w:rStyle w:val="apple-converted-space"/>
          <w:rFonts w:ascii="Helvetica" w:eastAsiaTheme="majorEastAsia" w:hAnsi="Helvetica"/>
          <w:color w:val="000000"/>
        </w:rPr>
        <w:t> </w:t>
      </w:r>
      <w:r w:rsidRPr="0078556D">
        <w:rPr>
          <w:rFonts w:ascii="Helvetica" w:hAnsi="Helvetica"/>
          <w:color w:val="000000"/>
        </w:rPr>
        <w:t>(see Appendix), we have proven that the titration logic scales from the lab beaker to 50-gallon pilot batches without losing colloidal stability, allowing for real-world floor trials.</w:t>
      </w:r>
    </w:p>
    <w:p w:rsidR="0078556D" w:rsidRDefault="0078556D" w:rsidP="0078556D">
      <w:pPr>
        <w:spacing w:line="360" w:lineRule="auto"/>
        <w:rPr>
          <w:rFonts w:ascii="Helvetica" w:hAnsi="Helvetica"/>
          <w:b/>
          <w:bCs/>
          <w:sz w:val="32"/>
          <w:szCs w:val="32"/>
        </w:rPr>
      </w:pPr>
    </w:p>
    <w:p w:rsidR="0078556D" w:rsidRDefault="0078556D" w:rsidP="0078556D">
      <w:pPr>
        <w:spacing w:line="360" w:lineRule="auto"/>
        <w:rPr>
          <w:rFonts w:ascii="Helvetica" w:hAnsi="Helvetica"/>
          <w:b/>
          <w:bCs/>
          <w:sz w:val="32"/>
          <w:szCs w:val="32"/>
        </w:rPr>
      </w:pPr>
    </w:p>
    <w:p w:rsidR="00505A3B" w:rsidRPr="0078556D" w:rsidRDefault="0078556D" w:rsidP="0078556D">
      <w:pPr>
        <w:spacing w:line="360" w:lineRule="auto"/>
        <w:rPr>
          <w:rFonts w:ascii="Helvetica" w:hAnsi="Helvetica"/>
          <w:b/>
          <w:bCs/>
          <w:sz w:val="32"/>
          <w:szCs w:val="32"/>
        </w:rPr>
      </w:pPr>
      <w:r w:rsidRPr="0078556D">
        <w:rPr>
          <w:rFonts w:ascii="Helvetica" w:hAnsi="Helvetica"/>
          <w:b/>
          <w:bCs/>
          <w:sz w:val="32"/>
          <w:szCs w:val="32"/>
        </w:rPr>
        <w:lastRenderedPageBreak/>
        <w:t>Appendix</w:t>
      </w:r>
    </w:p>
    <w:p w:rsidR="0078556D" w:rsidRPr="0078556D" w:rsidRDefault="0078556D" w:rsidP="0078556D">
      <w:pPr>
        <w:spacing w:line="360" w:lineRule="auto"/>
        <w:rPr>
          <w:rFonts w:ascii="Helvetica" w:hAnsi="Helvetica"/>
          <w:b/>
          <w:bCs/>
          <w:color w:val="000000"/>
          <w:sz w:val="28"/>
          <w:szCs w:val="28"/>
        </w:rPr>
      </w:pPr>
      <w:r w:rsidRPr="0078556D">
        <w:rPr>
          <w:rFonts w:ascii="Helvetica" w:hAnsi="Helvetica"/>
          <w:b/>
          <w:bCs/>
          <w:color w:val="000000"/>
          <w:sz w:val="28"/>
          <w:szCs w:val="28"/>
        </w:rPr>
        <w:t>Phase 1 "First-Mix" Data Sheet</w:t>
      </w:r>
    </w:p>
    <w:tbl>
      <w:tblPr>
        <w:tblStyle w:val="GridTable1Light"/>
        <w:tblW w:w="0" w:type="auto"/>
        <w:tblLook w:val="06A0" w:firstRow="1" w:lastRow="0" w:firstColumn="1" w:lastColumn="0" w:noHBand="1" w:noVBand="1"/>
      </w:tblPr>
      <w:tblGrid>
        <w:gridCol w:w="2033"/>
        <w:gridCol w:w="4799"/>
      </w:tblGrid>
      <w:tr w:rsidR="0078556D" w:rsidRPr="0078556D" w:rsidTr="00785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Target Specification</w:t>
            </w:r>
          </w:p>
        </w:tc>
      </w:tr>
      <w:tr w:rsidR="0078556D" w:rsidRPr="0078556D" w:rsidTr="00785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Final Hybrid pH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8.2 – 8.5</w:t>
            </w:r>
          </w:p>
        </w:tc>
      </w:tr>
      <w:tr w:rsidR="0078556D" w:rsidRPr="0078556D" w:rsidTr="00785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Viscosity (25°C)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10 – 200 </w:t>
            </w:r>
            <w:proofErr w:type="spellStart"/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mPa·s</w:t>
            </w:r>
            <w:proofErr w:type="spellEnd"/>
          </w:p>
        </w:tc>
      </w:tr>
      <w:tr w:rsidR="0078556D" w:rsidRPr="0078556D" w:rsidTr="00785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Solids Content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38.0 - 41.0%</w:t>
            </w:r>
          </w:p>
        </w:tc>
      </w:tr>
      <w:tr w:rsidR="0078556D" w:rsidRPr="0078556D" w:rsidTr="00785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Shelf Stability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sym w:font="Symbol" w:char="F0A3"/>
            </w:r>
            <w: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10</w:t>
            </w: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% Viscosity change at 12 weeks (40</w:t>
            </w:r>
            <w:r>
              <w:rPr>
                <w:rFonts w:ascii="Helvetica" w:eastAsia="Times New Roman" w:hAnsi="Helvetica" w:cs="Arial"/>
                <w:color w:val="000000"/>
                <w:kern w:val="0"/>
                <w:vertAlign w:val="superscript"/>
                <w14:ligatures w14:val="none"/>
              </w:rPr>
              <w:t>o</w:t>
            </w: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C)</w:t>
            </w:r>
          </w:p>
        </w:tc>
      </w:tr>
    </w:tbl>
    <w:p w:rsidR="0078556D" w:rsidRPr="0078556D" w:rsidRDefault="0078556D" w:rsidP="0078556D">
      <w:pPr>
        <w:spacing w:line="360" w:lineRule="auto"/>
        <w:rPr>
          <w:rFonts w:ascii="Helvetica" w:hAnsi="Helvetica"/>
          <w:b/>
          <w:bCs/>
          <w:sz w:val="28"/>
          <w:szCs w:val="28"/>
        </w:rPr>
      </w:pPr>
    </w:p>
    <w:p w:rsidR="0078556D" w:rsidRPr="0078556D" w:rsidRDefault="0078556D" w:rsidP="0078556D">
      <w:pPr>
        <w:spacing w:line="360" w:lineRule="auto"/>
        <w:rPr>
          <w:rFonts w:ascii="Helvetica" w:hAnsi="Helvetica"/>
          <w:b/>
          <w:bCs/>
          <w:sz w:val="28"/>
          <w:szCs w:val="28"/>
        </w:rPr>
      </w:pPr>
      <w:r w:rsidRPr="0078556D">
        <w:rPr>
          <w:rFonts w:ascii="Helvetica" w:hAnsi="Helvetica"/>
          <w:b/>
          <w:bCs/>
          <w:sz w:val="28"/>
          <w:szCs w:val="28"/>
        </w:rPr>
        <w:t>Performance Benchmark</w:t>
      </w:r>
    </w:p>
    <w:tbl>
      <w:tblPr>
        <w:tblStyle w:val="GridTable1Light"/>
        <w:tblW w:w="0" w:type="auto"/>
        <w:tblLook w:val="06A0" w:firstRow="1" w:lastRow="0" w:firstColumn="1" w:lastColumn="0" w:noHBand="1" w:noVBand="1"/>
      </w:tblPr>
      <w:tblGrid>
        <w:gridCol w:w="2937"/>
        <w:gridCol w:w="2270"/>
        <w:gridCol w:w="1710"/>
      </w:tblGrid>
      <w:tr w:rsidR="0078556D" w:rsidRPr="0078556D" w:rsidTr="00785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Industry Standard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Green-Armor</w:t>
            </w:r>
          </w:p>
        </w:tc>
      </w:tr>
      <w:tr w:rsidR="0078556D" w:rsidRPr="0078556D" w:rsidTr="00785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Abrasion (ASTM D4060)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50 mg loss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sym w:font="Symbol" w:char="F0A3"/>
            </w: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 xml:space="preserve"> 40$ mg loss</w:t>
            </w:r>
          </w:p>
        </w:tc>
      </w:tr>
      <w:tr w:rsidR="0078556D" w:rsidRPr="0078556D" w:rsidTr="00785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COF (ASTM D2047)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sym w:font="Symbol" w:char="F0B3"/>
            </w: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 xml:space="preserve"> </w:t>
            </w: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0.50$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sym w:font="Symbol" w:char="F0B3"/>
            </w: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 xml:space="preserve"> </w:t>
            </w: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0.60$</w:t>
            </w:r>
          </w:p>
        </w:tc>
      </w:tr>
      <w:tr w:rsidR="0078556D" w:rsidRPr="0078556D" w:rsidTr="00785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proofErr w:type="spellStart"/>
            <w:r w:rsidRPr="0078556D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Strippability</w:t>
            </w:r>
            <w:proofErr w:type="spellEnd"/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10 min dwell</w:t>
            </w:r>
          </w:p>
        </w:tc>
        <w:tc>
          <w:tcPr>
            <w:tcW w:w="0" w:type="auto"/>
            <w:hideMark/>
          </w:tcPr>
          <w:p w:rsidR="0078556D" w:rsidRPr="0078556D" w:rsidRDefault="0078556D" w:rsidP="007855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78556D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10 min dwell</w:t>
            </w:r>
          </w:p>
        </w:tc>
      </w:tr>
    </w:tbl>
    <w:p w:rsidR="0078556D" w:rsidRDefault="0078556D" w:rsidP="0078556D">
      <w:pPr>
        <w:spacing w:line="360" w:lineRule="auto"/>
        <w:rPr>
          <w:rFonts w:ascii="Helvetica" w:hAnsi="Helvetica"/>
          <w:b/>
          <w:bCs/>
          <w:sz w:val="28"/>
          <w:szCs w:val="28"/>
        </w:rPr>
      </w:pPr>
    </w:p>
    <w:p w:rsidR="0078556D" w:rsidRPr="0078556D" w:rsidRDefault="0078556D" w:rsidP="0078556D">
      <w:pPr>
        <w:pStyle w:val="Heading2"/>
        <w:spacing w:before="0" w:beforeAutospacing="0" w:after="0" w:afterAutospacing="0" w:line="360" w:lineRule="auto"/>
        <w:rPr>
          <w:color w:val="000000"/>
          <w:sz w:val="32"/>
          <w:szCs w:val="32"/>
        </w:rPr>
      </w:pPr>
      <w:r w:rsidRPr="0078556D">
        <w:rPr>
          <w:color w:val="000000"/>
          <w:sz w:val="32"/>
          <w:szCs w:val="32"/>
        </w:rPr>
        <w:t>References</w:t>
      </w:r>
    </w:p>
    <w:p w:rsidR="0078556D" w:rsidRDefault="0078556D" w:rsidP="0078556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right="-563"/>
        <w:rPr>
          <w:color w:val="000000"/>
        </w:rPr>
      </w:pPr>
      <w:proofErr w:type="spellStart"/>
      <w:r>
        <w:rPr>
          <w:color w:val="000000"/>
        </w:rPr>
        <w:t>ChemAnalyst</w:t>
      </w:r>
      <w:proofErr w:type="spellEnd"/>
      <w:r>
        <w:rPr>
          <w:color w:val="000000"/>
        </w:rPr>
        <w:t>. (2026).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Bio-polyol industrial price trends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hyperlink r:id="rId7" w:tgtFrame="_blank" w:history="1">
        <w:r>
          <w:rPr>
            <w:rStyle w:val="Hyperlink"/>
          </w:rPr>
          <w:t>https://www.chemanalyst.com/Pricing-data/polyols-60</w:t>
        </w:r>
      </w:hyperlink>
    </w:p>
    <w:p w:rsidR="0078556D" w:rsidRDefault="0078556D" w:rsidP="0078556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Commission Regulation (EU) 2023/2055. (2023).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Official Journal of the European Union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hyperlink r:id="rId8" w:tgtFrame="_blank" w:history="1">
        <w:r>
          <w:rPr>
            <w:rStyle w:val="Hyperlink"/>
          </w:rPr>
          <w:t>https://eur-lex.europa.eu/eli/reg/2023/2055/oj</w:t>
        </w:r>
      </w:hyperlink>
    </w:p>
    <w:p w:rsidR="0078556D" w:rsidRDefault="0078556D" w:rsidP="0078556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Fortune Business Insights. (2025).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Lignin market analysis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hyperlink r:id="rId9" w:tgtFrame="_blank" w:history="1">
        <w:r>
          <w:rPr>
            <w:rStyle w:val="Hyperlink"/>
          </w:rPr>
          <w:t>https://www.fortunebusinessinsights.com/lignin-market-104547</w:t>
        </w:r>
      </w:hyperlink>
    </w:p>
    <w:p w:rsidR="0078556D" w:rsidRDefault="0078556D" w:rsidP="0078556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00000"/>
        </w:rPr>
      </w:pPr>
      <w:proofErr w:type="spellStart"/>
      <w:r>
        <w:rPr>
          <w:color w:val="000000"/>
        </w:rPr>
        <w:t>Kalami</w:t>
      </w:r>
      <w:proofErr w:type="spellEnd"/>
      <w:r>
        <w:rPr>
          <w:color w:val="000000"/>
        </w:rPr>
        <w:t>, S., et al. (2024).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Stability and performance of lignin-polyurethane coatings under thermal stress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Coatings</w:t>
      </w:r>
      <w:r>
        <w:rPr>
          <w:color w:val="000000"/>
        </w:rPr>
        <w:t>, 14(1).</w:t>
      </w:r>
      <w:r>
        <w:rPr>
          <w:rStyle w:val="apple-converted-space"/>
          <w:rFonts w:eastAsiaTheme="majorEastAsia"/>
          <w:color w:val="000000"/>
        </w:rPr>
        <w:t> </w:t>
      </w:r>
      <w:hyperlink r:id="rId10" w:tgtFrame="_blank" w:history="1">
        <w:r>
          <w:rPr>
            <w:rStyle w:val="Hyperlink"/>
          </w:rPr>
          <w:t>https://doi.org/10.3390/coatings14010045</w:t>
        </w:r>
      </w:hyperlink>
    </w:p>
    <w:p w:rsidR="0078556D" w:rsidRPr="0078556D" w:rsidRDefault="0078556D" w:rsidP="0078556D">
      <w:pPr>
        <w:spacing w:line="360" w:lineRule="auto"/>
        <w:rPr>
          <w:rFonts w:ascii="Helvetica" w:hAnsi="Helvetica"/>
          <w:b/>
          <w:bCs/>
          <w:sz w:val="28"/>
          <w:szCs w:val="28"/>
        </w:rPr>
      </w:pPr>
    </w:p>
    <w:sectPr w:rsidR="0078556D" w:rsidRPr="0078556D" w:rsidSect="00473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587F"/>
    <w:multiLevelType w:val="hybridMultilevel"/>
    <w:tmpl w:val="78944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2C63C0"/>
    <w:multiLevelType w:val="multilevel"/>
    <w:tmpl w:val="350C8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5B93DF8"/>
    <w:multiLevelType w:val="multilevel"/>
    <w:tmpl w:val="484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5034A"/>
    <w:multiLevelType w:val="multilevel"/>
    <w:tmpl w:val="BDD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B31AB"/>
    <w:multiLevelType w:val="multilevel"/>
    <w:tmpl w:val="746A7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0014231">
    <w:abstractNumId w:val="1"/>
  </w:num>
  <w:num w:numId="2" w16cid:durableId="2020571726">
    <w:abstractNumId w:val="4"/>
  </w:num>
  <w:num w:numId="3" w16cid:durableId="1366835063">
    <w:abstractNumId w:val="2"/>
  </w:num>
  <w:num w:numId="4" w16cid:durableId="414740253">
    <w:abstractNumId w:val="3"/>
  </w:num>
  <w:num w:numId="5" w16cid:durableId="105265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05"/>
    <w:rsid w:val="00046985"/>
    <w:rsid w:val="003076DB"/>
    <w:rsid w:val="004731F5"/>
    <w:rsid w:val="00505A3B"/>
    <w:rsid w:val="006F4105"/>
    <w:rsid w:val="0078556D"/>
    <w:rsid w:val="00833F4F"/>
    <w:rsid w:val="009A4CA5"/>
    <w:rsid w:val="009B6E03"/>
    <w:rsid w:val="00A941F8"/>
    <w:rsid w:val="00AC207E"/>
    <w:rsid w:val="00AF0A19"/>
    <w:rsid w:val="00BA6CAF"/>
    <w:rsid w:val="00C677DE"/>
    <w:rsid w:val="00D6200E"/>
    <w:rsid w:val="00DA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C8B98"/>
  <w14:defaultImageDpi w14:val="32767"/>
  <w15:chartTrackingRefBased/>
  <w15:docId w15:val="{B57DBC67-9DC4-A541-9FC5-3F8060A4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2">
    <w:name w:val="heading 2"/>
    <w:basedOn w:val="Normal"/>
    <w:link w:val="Heading2Char"/>
    <w:uiPriority w:val="9"/>
    <w:qFormat/>
    <w:rsid w:val="00505A3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A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5A3B"/>
    <w:rPr>
      <w:rFonts w:ascii="Times New Roman" w:eastAsia="Times New Roman" w:hAnsi="Times New Roman" w:cs="Times New Roman"/>
      <w:b/>
      <w:bCs/>
      <w:kern w:val="0"/>
      <w:sz w:val="36"/>
      <w:szCs w:val="36"/>
      <w:lang w:val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A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05A3B"/>
  </w:style>
  <w:style w:type="character" w:customStyle="1" w:styleId="Heading3Char">
    <w:name w:val="Heading 3 Char"/>
    <w:basedOn w:val="DefaultParagraphFont"/>
    <w:link w:val="Heading3"/>
    <w:uiPriority w:val="9"/>
    <w:semiHidden/>
    <w:rsid w:val="00505A3B"/>
    <w:rPr>
      <w:rFonts w:asciiTheme="majorHAnsi" w:eastAsiaTheme="majorEastAsia" w:hAnsiTheme="majorHAnsi" w:cstheme="majorBidi"/>
      <w:color w:val="1F3763" w:themeColor="accent1" w:themeShade="7F"/>
      <w:lang w:val="en-CA"/>
    </w:rPr>
  </w:style>
  <w:style w:type="character" w:customStyle="1" w:styleId="mord">
    <w:name w:val="mord"/>
    <w:basedOn w:val="DefaultParagraphFont"/>
    <w:rsid w:val="00505A3B"/>
  </w:style>
  <w:style w:type="character" w:customStyle="1" w:styleId="mbin">
    <w:name w:val="mbin"/>
    <w:basedOn w:val="DefaultParagraphFont"/>
    <w:rsid w:val="00505A3B"/>
  </w:style>
  <w:style w:type="character" w:styleId="Hyperlink">
    <w:name w:val="Hyperlink"/>
    <w:basedOn w:val="DefaultParagraphFont"/>
    <w:uiPriority w:val="99"/>
    <w:semiHidden/>
    <w:unhideWhenUsed/>
    <w:rsid w:val="0078556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8556D"/>
    <w:rPr>
      <w:b/>
      <w:bCs/>
    </w:rPr>
  </w:style>
  <w:style w:type="character" w:customStyle="1" w:styleId="math-inline">
    <w:name w:val="math-inline"/>
    <w:basedOn w:val="DefaultParagraphFont"/>
    <w:rsid w:val="0078556D"/>
  </w:style>
  <w:style w:type="table" w:styleId="TableGrid">
    <w:name w:val="Table Grid"/>
    <w:basedOn w:val="TableNormal"/>
    <w:uiPriority w:val="39"/>
    <w:rsid w:val="00785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855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eli/reg/2023/2055/oj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emanalyst.com/Pricing-data/polyols-6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tunebusinessinsights.com/lignin-market-10454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emanalyst.com/Pricing-data/polyols-60" TargetMode="External"/><Relationship Id="rId10" Type="http://schemas.openxmlformats.org/officeDocument/2006/relationships/hyperlink" Target="https://doi.org/10.3390/coatings140100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tunebusinessinsights.com/lignin-market-1045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Edimaobong Udo</dc:creator>
  <cp:keywords/>
  <dc:description/>
  <cp:lastModifiedBy>Edimaobong Udo</cp:lastModifiedBy>
  <cp:revision>3</cp:revision>
  <dcterms:created xsi:type="dcterms:W3CDTF">2026-01-18T16:30:00Z</dcterms:created>
  <dcterms:modified xsi:type="dcterms:W3CDTF">2026-01-18T16:51:00Z</dcterms:modified>
</cp:coreProperties>
</file>