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505A3B" w:rsidRPr="00CC4A1D" w:rsidRDefault="00505A3B" w:rsidP="00CC4A1D">
      <w:pPr>
        <w:jc w:val="center"/>
        <w:rPr>
          <w:rFonts w:ascii="-webkit-standard" w:hAnsi="-webkit-standard"/>
          <w:b/>
          <w:bCs/>
          <w:color w:val="000000"/>
          <w:sz w:val="40"/>
          <w:szCs w:val="40"/>
        </w:rPr>
      </w:pPr>
      <w:r w:rsidRPr="00505A3B">
        <w:rPr>
          <w:rFonts w:ascii="-webkit-standard" w:hAnsi="-webkit-standard"/>
          <w:b/>
          <w:bCs/>
          <w:color w:val="000000"/>
          <w:sz w:val="40"/>
          <w:szCs w:val="40"/>
        </w:rPr>
        <w:t>L</w:t>
      </w:r>
      <w:r w:rsidRPr="00505A3B">
        <w:rPr>
          <w:rFonts w:ascii="-webkit-standard" w:hAnsi="-webkit-standard"/>
          <w:b/>
          <w:bCs/>
          <w:color w:val="000000"/>
          <w:sz w:val="40"/>
          <w:szCs w:val="40"/>
        </w:rPr>
        <w:t>ignin-PUD Hybrids for Sustainable Floor Care</w:t>
      </w:r>
    </w:p>
    <w:p w:rsidR="00505A3B" w:rsidRDefault="00505A3B" w:rsidP="00505A3B">
      <w:pPr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</w:p>
    <w:p w:rsidR="00990F57" w:rsidRDefault="00990F57" w:rsidP="00990F57">
      <w:pPr>
        <w:pStyle w:val="Heading3"/>
        <w:rPr>
          <w:color w:val="000000"/>
        </w:rPr>
      </w:pPr>
      <w:r>
        <w:rPr>
          <w:color w:val="000000"/>
        </w:rPr>
        <w:t>1. Solution Level</w:t>
      </w:r>
    </w:p>
    <w:p w:rsidR="00990F57" w:rsidRDefault="00990F57" w:rsidP="00990F57">
      <w:pPr>
        <w:pStyle w:val="NormalWeb"/>
        <w:rPr>
          <w:color w:val="000000"/>
        </w:rPr>
      </w:pPr>
      <w:r>
        <w:rPr>
          <w:color w:val="000000"/>
        </w:rPr>
        <w:t>The Green-Armor project is designated at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b/>
          <w:bCs/>
          <w:color w:val="000000"/>
        </w:rPr>
        <w:t>Technology Readiness Level (TRL) 5</w:t>
      </w:r>
      <w:r>
        <w:rPr>
          <w:color w:val="000000"/>
        </w:rPr>
        <w:t xml:space="preserve">. While the primary feedstocks—Bio-Polyurethane Dispersions (Bio-PUD) and Technical Lignin—are commercially available at TRL 9, their specific application as a high-speed </w:t>
      </w:r>
      <w:proofErr w:type="spellStart"/>
      <w:r>
        <w:rPr>
          <w:color w:val="000000"/>
        </w:rPr>
        <w:t>burnishable</w:t>
      </w:r>
      <w:proofErr w:type="spellEnd"/>
      <w:r>
        <w:rPr>
          <w:color w:val="000000"/>
        </w:rPr>
        <w:t xml:space="preserve"> floor finish has successfully moved from laboratory validation (TRL 4) to system validation in a relevant environment (TRL 5).</w:t>
      </w:r>
    </w:p>
    <w:p w:rsidR="00990F57" w:rsidRDefault="00990F57" w:rsidP="00990F57">
      <w:pPr>
        <w:pStyle w:val="Heading3"/>
        <w:rPr>
          <w:color w:val="000000"/>
        </w:rPr>
      </w:pPr>
      <w:r>
        <w:rPr>
          <w:color w:val="000000"/>
        </w:rPr>
        <w:t>2. Problem &amp; Opportunity</w:t>
      </w:r>
    </w:p>
    <w:p w:rsidR="00990F57" w:rsidRDefault="00990F57" w:rsidP="00990F57">
      <w:pPr>
        <w:pStyle w:val="NormalWeb"/>
        <w:rPr>
          <w:color w:val="000000"/>
        </w:rPr>
      </w:pPr>
      <w:r>
        <w:rPr>
          <w:color w:val="000000"/>
        </w:rPr>
        <w:t>Current floor care relies on persistent synthetic polymers (Acrylic/PE) that shed non-degradable microplastics.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b/>
          <w:bCs/>
          <w:color w:val="000000"/>
        </w:rPr>
        <w:t>Commission Regulation (EU) 2023/2055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mandates a restriction on intentionally added microplastics by 2028. Diversey has a strategic opportunity to lead the market with a "Strong in Use, Weak in Waste" bio-hybrid that provides high durability without the environmental persistence paradox.</w:t>
      </w:r>
    </w:p>
    <w:p w:rsidR="00990F57" w:rsidRDefault="00990F57" w:rsidP="00990F57">
      <w:pPr>
        <w:pStyle w:val="Heading3"/>
        <w:rPr>
          <w:color w:val="000000"/>
        </w:rPr>
      </w:pPr>
      <w:r>
        <w:rPr>
          <w:color w:val="000000"/>
        </w:rPr>
        <w:t>3. Solution Overview</w:t>
      </w:r>
    </w:p>
    <w:p w:rsidR="00990F57" w:rsidRDefault="00990F57" w:rsidP="00990F57">
      <w:pPr>
        <w:pStyle w:val="NormalWeb"/>
        <w:rPr>
          <w:color w:val="000000"/>
        </w:rPr>
      </w:pPr>
      <w:r>
        <w:rPr>
          <w:color w:val="000000"/>
        </w:rPr>
        <w:t>The solution utilizes a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b/>
          <w:bCs/>
          <w:color w:val="000000"/>
        </w:rPr>
        <w:t>Lignin-Reinforced Bio-PUD</w:t>
      </w:r>
      <w:r>
        <w:rPr>
          <w:color w:val="000000"/>
        </w:rPr>
        <w:t>. The system replaces non-degradable carbon-chain polymers with hydrolytically susceptible urethane linkages. The formulation features a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mord"/>
          <w:b/>
          <w:bCs/>
          <w:color w:val="000000"/>
        </w:rPr>
        <w:t>60%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renewable carbon matrix, a lignin-based aromatic structural "rebar," and a carnauba-cellulose nano-emulsion to ensure a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mord"/>
          <w:b/>
          <w:bCs/>
          <w:color w:val="000000"/>
        </w:rPr>
        <w:t>COF</w:t>
      </w:r>
      <w:r>
        <w:rPr>
          <w:rStyle w:val="mrel"/>
          <w:b/>
          <w:bCs/>
          <w:color w:val="000000"/>
        </w:rPr>
        <w:t>≥</w:t>
      </w:r>
      <w:r>
        <w:rPr>
          <w:rStyle w:val="mord"/>
          <w:b/>
          <w:bCs/>
          <w:color w:val="000000"/>
        </w:rPr>
        <w:t>0.60</w:t>
      </w:r>
      <w:r>
        <w:rPr>
          <w:color w:val="000000"/>
        </w:rPr>
        <w:t>.</w:t>
      </w:r>
    </w:p>
    <w:p w:rsidR="00990F57" w:rsidRDefault="00990F57" w:rsidP="00990F57">
      <w:pPr>
        <w:pStyle w:val="Heading3"/>
        <w:rPr>
          <w:color w:val="000000"/>
        </w:rPr>
      </w:pPr>
      <w:r>
        <w:rPr>
          <w:color w:val="000000"/>
        </w:rPr>
        <w:t>4. Solution Feasibility</w:t>
      </w:r>
    </w:p>
    <w:p w:rsidR="00990F57" w:rsidRDefault="00990F57" w:rsidP="00990F57">
      <w:pPr>
        <w:pStyle w:val="NormalWeb"/>
        <w:rPr>
          <w:color w:val="000000"/>
        </w:rPr>
      </w:pPr>
      <w:r>
        <w:rPr>
          <w:color w:val="000000"/>
        </w:rPr>
        <w:t>Economic feasibility is achieved via "Upcycling Logic." By utilizing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b/>
          <w:bCs/>
          <w:color w:val="000000"/>
        </w:rPr>
        <w:t>Technical Lignin</w:t>
      </w:r>
      <w:r>
        <w:rPr>
          <w:color w:val="000000"/>
        </w:rPr>
        <w:t xml:space="preserve">—a high-volume industrial </w:t>
      </w:r>
      <w:proofErr w:type="spellStart"/>
      <w:r>
        <w:rPr>
          <w:color w:val="000000"/>
        </w:rPr>
        <w:t>byproduct</w:t>
      </w:r>
      <w:proofErr w:type="spellEnd"/>
      <w:r>
        <w:rPr>
          <w:color w:val="000000"/>
        </w:rPr>
        <w:t>—the project achieves a concentrate cost of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b/>
          <w:bCs/>
          <w:color w:val="000000"/>
        </w:rPr>
        <w:t>$9.22/kg</w:t>
      </w:r>
      <w:r>
        <w:rPr>
          <w:color w:val="000000"/>
        </w:rPr>
        <w:t>, well below the stakeholder threshold of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b/>
          <w:bCs/>
          <w:color w:val="000000"/>
        </w:rPr>
        <w:t>$25.00/kg</w:t>
      </w:r>
      <w:r>
        <w:rPr>
          <w:color w:val="000000"/>
        </w:rPr>
        <w:t>.</w:t>
      </w:r>
    </w:p>
    <w:p w:rsidR="00990F57" w:rsidRDefault="00990F57" w:rsidP="00990F57">
      <w:pPr>
        <w:pStyle w:val="Heading3"/>
        <w:rPr>
          <w:color w:val="000000"/>
        </w:rPr>
      </w:pPr>
      <w:r>
        <w:rPr>
          <w:color w:val="000000"/>
        </w:rPr>
        <w:t>5. Experience</w:t>
      </w:r>
    </w:p>
    <w:p w:rsidR="00990F57" w:rsidRDefault="00990F57" w:rsidP="00990F57">
      <w:pPr>
        <w:pStyle w:val="NormalWeb"/>
        <w:rPr>
          <w:color w:val="000000"/>
        </w:rPr>
      </w:pPr>
      <w:r>
        <w:rPr>
          <w:color w:val="000000"/>
        </w:rPr>
        <w:t>The project team brings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b/>
          <w:bCs/>
          <w:color w:val="000000"/>
        </w:rPr>
        <w:t>15+ years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of expertise in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b/>
          <w:bCs/>
          <w:color w:val="000000"/>
        </w:rPr>
        <w:t>Colloidal Chemistry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and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b/>
          <w:bCs/>
          <w:color w:val="000000"/>
        </w:rPr>
        <w:t>Anionic Stabilization</w:t>
      </w:r>
      <w:r>
        <w:rPr>
          <w:color w:val="000000"/>
        </w:rPr>
        <w:t>. We have successfully transitioned industrial coating lines from synthetic to bio-hybrid platforms in the wood and textile sectors using the same stabilization protocols proposed here.</w:t>
      </w:r>
    </w:p>
    <w:p w:rsidR="00990F57" w:rsidRDefault="00990F57" w:rsidP="00990F57">
      <w:pPr>
        <w:pStyle w:val="Heading3"/>
        <w:rPr>
          <w:color w:val="000000"/>
        </w:rPr>
      </w:pPr>
      <w:r>
        <w:rPr>
          <w:color w:val="000000"/>
        </w:rPr>
        <w:t>6. Solution Risks</w:t>
      </w:r>
    </w:p>
    <w:p w:rsidR="00990F57" w:rsidRDefault="00990F57" w:rsidP="00990F57">
      <w:pPr>
        <w:pStyle w:val="NormalWeb"/>
        <w:numPr>
          <w:ilvl w:val="0"/>
          <w:numId w:val="3"/>
        </w:numPr>
        <w:rPr>
          <w:color w:val="000000"/>
        </w:rPr>
      </w:pPr>
      <w:r>
        <w:rPr>
          <w:b/>
          <w:bCs/>
          <w:color w:val="000000"/>
        </w:rPr>
        <w:t>Stability: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Potential for pH-related precipitation.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i/>
          <w:iCs/>
          <w:color w:val="000000"/>
        </w:rPr>
        <w:t>Mitigation: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Implementation of a Gate 1 titration protocol and a 12-week accelerated aging schedule.</w:t>
      </w:r>
    </w:p>
    <w:p w:rsidR="00990F57" w:rsidRDefault="00990F57" w:rsidP="00990F57">
      <w:pPr>
        <w:pStyle w:val="NormalWeb"/>
        <w:numPr>
          <w:ilvl w:val="0"/>
          <w:numId w:val="3"/>
        </w:numPr>
        <w:rPr>
          <w:color w:val="000000"/>
        </w:rPr>
      </w:pPr>
      <w:r>
        <w:rPr>
          <w:b/>
          <w:bCs/>
          <w:color w:val="000000"/>
        </w:rPr>
        <w:t>Aesthetics: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 xml:space="preserve">Lignin-induced </w:t>
      </w:r>
      <w:proofErr w:type="spellStart"/>
      <w:r>
        <w:rPr>
          <w:color w:val="000000"/>
        </w:rPr>
        <w:t>ambering</w:t>
      </w:r>
      <w:proofErr w:type="spellEnd"/>
      <w:r>
        <w:rPr>
          <w:color w:val="000000"/>
        </w:rPr>
        <w:t>.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i/>
          <w:iCs/>
          <w:color w:val="000000"/>
        </w:rPr>
        <w:t>Mitigation: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Utilization of refined "</w:t>
      </w:r>
      <w:proofErr w:type="spellStart"/>
      <w:r>
        <w:rPr>
          <w:color w:val="000000"/>
        </w:rPr>
        <w:t>Organosolv</w:t>
      </w:r>
      <w:proofErr w:type="spellEnd"/>
      <w:r>
        <w:rPr>
          <w:color w:val="000000"/>
        </w:rPr>
        <w:t>" lignin fractions for maximum film clarity.</w:t>
      </w:r>
    </w:p>
    <w:p w:rsidR="00990F57" w:rsidRDefault="00990F57" w:rsidP="00990F57">
      <w:pPr>
        <w:pStyle w:val="Heading3"/>
        <w:rPr>
          <w:color w:val="000000"/>
        </w:rPr>
      </w:pPr>
      <w:r>
        <w:rPr>
          <w:color w:val="000000"/>
        </w:rPr>
        <w:lastRenderedPageBreak/>
        <w:t>7. Timeline, Capability, and Costs</w:t>
      </w:r>
    </w:p>
    <w:p w:rsidR="00990F57" w:rsidRDefault="00990F57" w:rsidP="00990F57">
      <w:pPr>
        <w:pStyle w:val="NormalWeb"/>
        <w:numPr>
          <w:ilvl w:val="0"/>
          <w:numId w:val="4"/>
        </w:numPr>
        <w:rPr>
          <w:color w:val="000000"/>
        </w:rPr>
      </w:pPr>
      <w:r>
        <w:rPr>
          <w:b/>
          <w:bCs/>
          <w:color w:val="000000"/>
        </w:rPr>
        <w:t>Timeline: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15 Months (Stabilization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mrel"/>
          <w:color w:val="000000"/>
        </w:rPr>
        <w:t>→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ASTM Validation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mrel"/>
          <w:color w:val="000000"/>
        </w:rPr>
        <w:t>→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Field Pilots).</w:t>
      </w:r>
    </w:p>
    <w:p w:rsidR="00990F57" w:rsidRDefault="00990F57" w:rsidP="00990F57">
      <w:pPr>
        <w:pStyle w:val="NormalWeb"/>
        <w:numPr>
          <w:ilvl w:val="0"/>
          <w:numId w:val="4"/>
        </w:numPr>
        <w:rPr>
          <w:color w:val="000000"/>
        </w:rPr>
      </w:pPr>
      <w:r>
        <w:rPr>
          <w:b/>
          <w:bCs/>
          <w:color w:val="000000"/>
        </w:rPr>
        <w:t>Capability: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100% compatible with existing Diversey high-shear mixing assets; no new capital expenditure required.</w:t>
      </w:r>
    </w:p>
    <w:p w:rsidR="00990F57" w:rsidRDefault="00990F57" w:rsidP="00990F57">
      <w:pPr>
        <w:pStyle w:val="NormalWeb"/>
        <w:numPr>
          <w:ilvl w:val="0"/>
          <w:numId w:val="4"/>
        </w:numPr>
        <w:rPr>
          <w:color w:val="000000"/>
        </w:rPr>
      </w:pPr>
      <w:r>
        <w:rPr>
          <w:b/>
          <w:bCs/>
          <w:color w:val="000000"/>
        </w:rPr>
        <w:t>Costs: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Estimated R&amp;D budget of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b/>
          <w:bCs/>
          <w:color w:val="000000"/>
        </w:rPr>
        <w:t>$85,000 – $110,000</w:t>
      </w:r>
      <w:r>
        <w:rPr>
          <w:color w:val="000000"/>
        </w:rPr>
        <w:t>.</w:t>
      </w:r>
    </w:p>
    <w:p w:rsidR="00990F57" w:rsidRDefault="00990F57" w:rsidP="00990F57">
      <w:pPr>
        <w:pStyle w:val="Heading3"/>
        <w:rPr>
          <w:color w:val="000000"/>
        </w:rPr>
      </w:pPr>
      <w:r>
        <w:rPr>
          <w:color w:val="000000"/>
        </w:rPr>
        <w:t>8. Online References</w:t>
      </w:r>
    </w:p>
    <w:p w:rsidR="00990F57" w:rsidRDefault="00990F57" w:rsidP="00990F57">
      <w:pPr>
        <w:pStyle w:val="NormalWeb"/>
        <w:numPr>
          <w:ilvl w:val="0"/>
          <w:numId w:val="5"/>
        </w:numPr>
        <w:rPr>
          <w:color w:val="000000"/>
        </w:rPr>
      </w:pPr>
      <w:r>
        <w:rPr>
          <w:color w:val="000000"/>
        </w:rPr>
        <w:t>European Commission. (2023).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i/>
          <w:iCs/>
          <w:color w:val="000000"/>
        </w:rPr>
        <w:t>Regulation (EU) 2023/2055</w:t>
      </w:r>
      <w:r>
        <w:rPr>
          <w:color w:val="000000"/>
        </w:rPr>
        <w:t>.</w:t>
      </w:r>
      <w:r>
        <w:rPr>
          <w:rStyle w:val="apple-converted-space"/>
          <w:rFonts w:eastAsiaTheme="majorEastAsia"/>
          <w:color w:val="000000"/>
        </w:rPr>
        <w:t> </w:t>
      </w:r>
      <w:hyperlink r:id="rId5" w:tgtFrame="_blank" w:history="1">
        <w:r>
          <w:rPr>
            <w:rStyle w:val="Hyperlink"/>
          </w:rPr>
          <w:t>Access Link</w:t>
        </w:r>
      </w:hyperlink>
    </w:p>
    <w:p w:rsidR="00990F57" w:rsidRDefault="00990F57" w:rsidP="00990F57">
      <w:pPr>
        <w:pStyle w:val="NormalWeb"/>
        <w:numPr>
          <w:ilvl w:val="0"/>
          <w:numId w:val="5"/>
        </w:numPr>
        <w:rPr>
          <w:color w:val="000000"/>
        </w:rPr>
      </w:pPr>
      <w:r>
        <w:rPr>
          <w:color w:val="000000"/>
        </w:rPr>
        <w:t>Fortune Business Insights. (2025).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i/>
          <w:iCs/>
          <w:color w:val="000000"/>
        </w:rPr>
        <w:t>Lignin Market Analysis</w:t>
      </w:r>
      <w:r>
        <w:rPr>
          <w:color w:val="000000"/>
        </w:rPr>
        <w:t>.</w:t>
      </w:r>
      <w:r>
        <w:rPr>
          <w:rStyle w:val="apple-converted-space"/>
          <w:rFonts w:eastAsiaTheme="majorEastAsia"/>
          <w:color w:val="000000"/>
        </w:rPr>
        <w:t> </w:t>
      </w:r>
      <w:hyperlink r:id="rId6" w:tgtFrame="_blank" w:history="1">
        <w:r>
          <w:rPr>
            <w:rStyle w:val="Hyperlink"/>
          </w:rPr>
          <w:t>Access Link</w:t>
        </w:r>
      </w:hyperlink>
    </w:p>
    <w:p w:rsidR="00990F57" w:rsidRDefault="00990F57" w:rsidP="00990F57">
      <w:pPr>
        <w:pStyle w:val="NormalWeb"/>
        <w:numPr>
          <w:ilvl w:val="0"/>
          <w:numId w:val="5"/>
        </w:numPr>
        <w:rPr>
          <w:color w:val="000000"/>
        </w:rPr>
      </w:pPr>
      <w:proofErr w:type="spellStart"/>
      <w:r>
        <w:rPr>
          <w:color w:val="000000"/>
        </w:rPr>
        <w:t>ChemAnalyst</w:t>
      </w:r>
      <w:proofErr w:type="spellEnd"/>
      <w:r>
        <w:rPr>
          <w:color w:val="000000"/>
        </w:rPr>
        <w:t>. (2026).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i/>
          <w:iCs/>
          <w:color w:val="000000"/>
        </w:rPr>
        <w:t>Bio-Polyol Price Index</w:t>
      </w:r>
      <w:r>
        <w:rPr>
          <w:color w:val="000000"/>
        </w:rPr>
        <w:t>.</w:t>
      </w:r>
      <w:r>
        <w:rPr>
          <w:rStyle w:val="apple-converted-space"/>
          <w:rFonts w:eastAsiaTheme="majorEastAsia"/>
          <w:color w:val="000000"/>
        </w:rPr>
        <w:t> </w:t>
      </w:r>
      <w:hyperlink r:id="rId7" w:tgtFrame="_blank" w:history="1">
        <w:r>
          <w:rPr>
            <w:rStyle w:val="Hyperlink"/>
          </w:rPr>
          <w:t>Access Link</w:t>
        </w:r>
      </w:hyperlink>
    </w:p>
    <w:p w:rsidR="00990F57" w:rsidRPr="00505A3B" w:rsidRDefault="00990F57" w:rsidP="00505A3B">
      <w:pPr>
        <w:rPr>
          <w:b/>
          <w:bCs/>
        </w:rPr>
      </w:pPr>
    </w:p>
    <w:sectPr w:rsidR="00990F57" w:rsidRPr="00505A3B" w:rsidSect="004731F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-webkit-standard">
    <w:altName w:val="Cambria"/>
    <w:panose1 w:val="020B060402020202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32C63C0"/>
    <w:multiLevelType w:val="multilevel"/>
    <w:tmpl w:val="350C834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" w15:restartNumberingAfterBreak="0">
    <w:nsid w:val="49254336"/>
    <w:multiLevelType w:val="multilevel"/>
    <w:tmpl w:val="73527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2012FAC"/>
    <w:multiLevelType w:val="multilevel"/>
    <w:tmpl w:val="273C7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E33785B"/>
    <w:multiLevelType w:val="multilevel"/>
    <w:tmpl w:val="1B087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A6B31AB"/>
    <w:multiLevelType w:val="multilevel"/>
    <w:tmpl w:val="746A773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num w:numId="1" w16cid:durableId="1720014231">
    <w:abstractNumId w:val="0"/>
  </w:num>
  <w:num w:numId="2" w16cid:durableId="2020571726">
    <w:abstractNumId w:val="4"/>
  </w:num>
  <w:num w:numId="3" w16cid:durableId="2103447524">
    <w:abstractNumId w:val="2"/>
  </w:num>
  <w:num w:numId="4" w16cid:durableId="1755585683">
    <w:abstractNumId w:val="1"/>
  </w:num>
  <w:num w:numId="5" w16cid:durableId="141049691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4105"/>
    <w:rsid w:val="00046985"/>
    <w:rsid w:val="003076DB"/>
    <w:rsid w:val="003919A7"/>
    <w:rsid w:val="004731F5"/>
    <w:rsid w:val="00505A3B"/>
    <w:rsid w:val="006F4105"/>
    <w:rsid w:val="007567D1"/>
    <w:rsid w:val="00990F57"/>
    <w:rsid w:val="009A4CA5"/>
    <w:rsid w:val="00A941F8"/>
    <w:rsid w:val="00AC207E"/>
    <w:rsid w:val="00AF0A19"/>
    <w:rsid w:val="00BA6CAF"/>
    <w:rsid w:val="00C677DE"/>
    <w:rsid w:val="00CC4A1D"/>
    <w:rsid w:val="00D6200E"/>
    <w:rsid w:val="00DA7E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A73432C"/>
  <w14:defaultImageDpi w14:val="32767"/>
  <w15:chartTrackingRefBased/>
  <w15:docId w15:val="{B57DBC67-9DC4-A541-9FC5-3F8060A4EF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CA"/>
    </w:rPr>
  </w:style>
  <w:style w:type="paragraph" w:styleId="Heading2">
    <w:name w:val="heading 2"/>
    <w:basedOn w:val="Normal"/>
    <w:link w:val="Heading2Char"/>
    <w:uiPriority w:val="9"/>
    <w:qFormat/>
    <w:rsid w:val="00505A3B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05A3B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505A3B"/>
    <w:rPr>
      <w:rFonts w:ascii="Times New Roman" w:eastAsia="Times New Roman" w:hAnsi="Times New Roman" w:cs="Times New Roman"/>
      <w:b/>
      <w:bCs/>
      <w:kern w:val="0"/>
      <w:sz w:val="36"/>
      <w:szCs w:val="36"/>
      <w:lang w:val="en-CA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505A3B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apple-converted-space">
    <w:name w:val="apple-converted-space"/>
    <w:basedOn w:val="DefaultParagraphFont"/>
    <w:rsid w:val="00505A3B"/>
  </w:style>
  <w:style w:type="character" w:customStyle="1" w:styleId="Heading3Char">
    <w:name w:val="Heading 3 Char"/>
    <w:basedOn w:val="DefaultParagraphFont"/>
    <w:link w:val="Heading3"/>
    <w:uiPriority w:val="9"/>
    <w:semiHidden/>
    <w:rsid w:val="00505A3B"/>
    <w:rPr>
      <w:rFonts w:asciiTheme="majorHAnsi" w:eastAsiaTheme="majorEastAsia" w:hAnsiTheme="majorHAnsi" w:cstheme="majorBidi"/>
      <w:color w:val="1F3763" w:themeColor="accent1" w:themeShade="7F"/>
      <w:lang w:val="en-CA"/>
    </w:rPr>
  </w:style>
  <w:style w:type="character" w:customStyle="1" w:styleId="mord">
    <w:name w:val="mord"/>
    <w:basedOn w:val="DefaultParagraphFont"/>
    <w:rsid w:val="00505A3B"/>
  </w:style>
  <w:style w:type="character" w:customStyle="1" w:styleId="mbin">
    <w:name w:val="mbin"/>
    <w:basedOn w:val="DefaultParagraphFont"/>
    <w:rsid w:val="00505A3B"/>
  </w:style>
  <w:style w:type="character" w:customStyle="1" w:styleId="mrel">
    <w:name w:val="mrel"/>
    <w:basedOn w:val="DefaultParagraphFont"/>
    <w:rsid w:val="00990F57"/>
  </w:style>
  <w:style w:type="character" w:styleId="Hyperlink">
    <w:name w:val="Hyperlink"/>
    <w:basedOn w:val="DefaultParagraphFont"/>
    <w:uiPriority w:val="99"/>
    <w:semiHidden/>
    <w:unhideWhenUsed/>
    <w:rsid w:val="00990F57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52994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133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848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039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chemanalyst.com/Pricing-data/polyols-60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fortunebusinessinsights.com/lignin-market-104547" TargetMode="External"/><Relationship Id="rId5" Type="http://schemas.openxmlformats.org/officeDocument/2006/relationships/hyperlink" Target="https://eur-lex.europa.eu/eli/reg/2023/2055/oj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415</Words>
  <Characters>2371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Edimaobong Udo</dc:creator>
  <cp:keywords/>
  <dc:description/>
  <cp:lastModifiedBy>Edimaobong Udo</cp:lastModifiedBy>
  <cp:revision>4</cp:revision>
  <dcterms:created xsi:type="dcterms:W3CDTF">2026-01-18T16:37:00Z</dcterms:created>
  <dcterms:modified xsi:type="dcterms:W3CDTF">2026-01-18T17:00:00Z</dcterms:modified>
</cp:coreProperties>
</file>