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D34" w:rsidRPr="00320D34" w:rsidRDefault="00320D34" w:rsidP="006652A8">
      <w:pPr>
        <w:pStyle w:val="Heading1"/>
        <w:rPr>
          <w:rFonts w:ascii="Helvetica" w:hAnsi="Helvetica"/>
          <w:color w:val="000000"/>
          <w:sz w:val="32"/>
          <w:szCs w:val="32"/>
        </w:rPr>
      </w:pPr>
      <w:proofErr w:type="spellStart"/>
      <w:r w:rsidRPr="00320D34">
        <w:rPr>
          <w:rFonts w:ascii="Helvetica" w:hAnsi="Helvetica"/>
          <w:color w:val="000000"/>
          <w:sz w:val="32"/>
          <w:szCs w:val="32"/>
        </w:rPr>
        <w:t>FreshServe</w:t>
      </w:r>
      <w:proofErr w:type="spellEnd"/>
      <w:r w:rsidRPr="00320D34">
        <w:rPr>
          <w:rFonts w:ascii="Helvetica" w:hAnsi="Helvetica"/>
          <w:color w:val="000000"/>
          <w:sz w:val="32"/>
          <w:szCs w:val="32"/>
        </w:rPr>
        <w:t xml:space="preserve"> Ltd. Five-Year Strategic Plan for Sustainable Growth</w:t>
      </w:r>
    </w:p>
    <w:p w:rsidR="00320D34" w:rsidRPr="006652A8" w:rsidRDefault="00320D34" w:rsidP="006652A8">
      <w:pPr>
        <w:pStyle w:val="Heading2"/>
        <w:rPr>
          <w:rFonts w:ascii="Helvetica" w:hAnsi="Helvetica"/>
          <w:color w:val="000000"/>
          <w:sz w:val="28"/>
          <w:szCs w:val="28"/>
        </w:rPr>
      </w:pPr>
      <w:r w:rsidRPr="006652A8">
        <w:rPr>
          <w:rFonts w:ascii="Helvetica" w:hAnsi="Helvetica"/>
          <w:color w:val="000000"/>
          <w:sz w:val="28"/>
          <w:szCs w:val="28"/>
        </w:rPr>
        <w:t>Situational Analysis</w:t>
      </w:r>
    </w:p>
    <w:p w:rsidR="00320D34" w:rsidRPr="006652A8" w:rsidRDefault="00320D34" w:rsidP="006652A8">
      <w:pPr>
        <w:pStyle w:val="Heading3"/>
        <w:rPr>
          <w:rFonts w:ascii="Helvetica" w:hAnsi="Helvetica"/>
          <w:color w:val="000000"/>
          <w:sz w:val="24"/>
          <w:szCs w:val="24"/>
        </w:rPr>
      </w:pPr>
      <w:r w:rsidRPr="006652A8">
        <w:rPr>
          <w:rFonts w:ascii="Helvetica" w:hAnsi="Helvetica"/>
          <w:color w:val="000000"/>
          <w:sz w:val="24"/>
          <w:szCs w:val="24"/>
        </w:rPr>
        <w:t>Strategic Assessment Using Porter's Five Forces</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w:t>
      </w:r>
      <w:proofErr w:type="spellEnd"/>
      <w:r w:rsidRPr="00320D34">
        <w:rPr>
          <w:rFonts w:ascii="Helvetica" w:hAnsi="Helvetica"/>
          <w:color w:val="000000"/>
        </w:rPr>
        <w:t xml:space="preserve"> operates in a moderately attractive industry with unique competitive dynamics. Supplier power remains manageable through local farmer relationships, though rising ingredient costs indicate some leverage during agricultural volatility. Buyer power reflects urban food desert dynamics where price sensitivity is high but alternatives are limited, creating competitive protection while demanding operational efficiency.</w:t>
      </w:r>
    </w:p>
    <w:p w:rsidR="00320D34" w:rsidRPr="00320D34" w:rsidRDefault="00320D34" w:rsidP="006652A8">
      <w:pPr>
        <w:pStyle w:val="NormalWeb"/>
        <w:rPr>
          <w:rFonts w:ascii="Helvetica" w:hAnsi="Helvetica"/>
          <w:color w:val="000000"/>
        </w:rPr>
      </w:pPr>
      <w:r w:rsidRPr="00320D34">
        <w:rPr>
          <w:rFonts w:ascii="Helvetica" w:hAnsi="Helvetica"/>
          <w:color w:val="000000"/>
        </w:rPr>
        <w:t>Competitive rivalry currently remains moderate due to infrastructure barriers and specialized community focus. Traditional meal kit companies target higher-income markets while grocery delivery services often exclude food desert areas. However, increasing social impact investment attention may attract well-capitalized competitors.</w:t>
      </w:r>
    </w:p>
    <w:p w:rsidR="00320D34" w:rsidRPr="00320D34" w:rsidRDefault="00320D34" w:rsidP="006652A8">
      <w:pPr>
        <w:pStyle w:val="NormalWeb"/>
        <w:rPr>
          <w:rFonts w:ascii="Helvetica" w:hAnsi="Helvetica"/>
          <w:color w:val="000000"/>
        </w:rPr>
      </w:pPr>
      <w:r w:rsidRPr="00320D34">
        <w:rPr>
          <w:rFonts w:ascii="Helvetica" w:hAnsi="Helvetica"/>
          <w:color w:val="000000"/>
        </w:rPr>
        <w:t>The threat of substitutes includes traditional grocery shopping and fast</w:t>
      </w:r>
      <w:r w:rsidR="006652A8">
        <w:rPr>
          <w:rFonts w:ascii="Helvetica" w:hAnsi="Helvetica"/>
          <w:color w:val="000000"/>
        </w:rPr>
        <w:t>-</w:t>
      </w:r>
      <w:r w:rsidRPr="00320D34">
        <w:rPr>
          <w:rFonts w:ascii="Helvetica" w:hAnsi="Helvetica"/>
          <w:color w:val="000000"/>
        </w:rPr>
        <w:t xml:space="preserve">food options, though </w:t>
      </w:r>
      <w:proofErr w:type="spellStart"/>
      <w:r w:rsidRPr="00320D34">
        <w:rPr>
          <w:rFonts w:ascii="Helvetica" w:hAnsi="Helvetica"/>
          <w:color w:val="000000"/>
        </w:rPr>
        <w:t>FreshServe's</w:t>
      </w:r>
      <w:proofErr w:type="spellEnd"/>
      <w:r w:rsidRPr="00320D34">
        <w:rPr>
          <w:rFonts w:ascii="Helvetica" w:hAnsi="Helvetica"/>
          <w:color w:val="000000"/>
        </w:rPr>
        <w:t xml:space="preserve"> differentiation through nutrition education and accessibility creates switching costs. Barriers to entry include substantial refrigerated infrastructure requirements and mission-authentic leadership necessary for community trust.</w:t>
      </w:r>
    </w:p>
    <w:p w:rsidR="00320D34" w:rsidRPr="00320D34" w:rsidRDefault="007150F4" w:rsidP="006652A8">
      <w:pPr>
        <w:pStyle w:val="Heading3"/>
        <w:rPr>
          <w:rFonts w:ascii="Helvetica" w:hAnsi="Helvetica"/>
          <w:color w:val="000000"/>
        </w:rPr>
      </w:pPr>
      <w:r>
        <w:rPr>
          <w:rFonts w:ascii="Helvetica" w:hAnsi="Helvetica"/>
          <w:color w:val="000000"/>
        </w:rPr>
        <w:t>Value Chain Analysis</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FreshServe's</w:t>
      </w:r>
      <w:proofErr w:type="spellEnd"/>
      <w:r w:rsidRPr="00320D34">
        <w:rPr>
          <w:rFonts w:ascii="Helvetica" w:hAnsi="Helvetica"/>
          <w:color w:val="000000"/>
        </w:rPr>
        <w:t xml:space="preserve"> value chain reveals critical strengths and vulnerabilities. Inbound logistics succeed through local partnerships but suffer from supply chain bottlenecks and inadequate demand forecasting. Operations maintain quality standards but face understaffing and process inefficiencies masked by misapplied "lean production" rhetoric.</w:t>
      </w:r>
    </w:p>
    <w:p w:rsidR="00320D34" w:rsidRPr="00320D34" w:rsidRDefault="00320D34" w:rsidP="006652A8">
      <w:pPr>
        <w:pStyle w:val="NormalWeb"/>
        <w:rPr>
          <w:rFonts w:ascii="Helvetica" w:hAnsi="Helvetica"/>
          <w:color w:val="000000"/>
        </w:rPr>
      </w:pPr>
      <w:r w:rsidRPr="00320D34">
        <w:rPr>
          <w:rFonts w:ascii="Helvetica" w:hAnsi="Helvetica"/>
          <w:color w:val="000000"/>
        </w:rPr>
        <w:t>The most significant challenges appear in support activities. Human resource management practices contradict mission values through authoritarian leadership and inadequate recognition systems. Financial infrastructure shows dangerous leverage that constrains strategic flexibility. Technology systems appear insufficient for efficient scaling operations.</w:t>
      </w:r>
    </w:p>
    <w:p w:rsidR="00320D34" w:rsidRPr="00320D34" w:rsidRDefault="00320D34" w:rsidP="006652A8">
      <w:pPr>
        <w:pStyle w:val="Heading3"/>
        <w:rPr>
          <w:rFonts w:ascii="Helvetica" w:hAnsi="Helvetica"/>
          <w:color w:val="000000"/>
        </w:rPr>
      </w:pPr>
      <w:r w:rsidRPr="00320D34">
        <w:rPr>
          <w:rFonts w:ascii="Helvetica" w:hAnsi="Helvetica"/>
          <w:color w:val="000000"/>
        </w:rPr>
        <w:t>Financial Analysis</w:t>
      </w:r>
    </w:p>
    <w:p w:rsidR="00320D34" w:rsidRPr="00320D34" w:rsidRDefault="00320D34" w:rsidP="006652A8">
      <w:pPr>
        <w:pStyle w:val="NormalWeb"/>
        <w:rPr>
          <w:rFonts w:ascii="Helvetica" w:hAnsi="Helvetica"/>
          <w:color w:val="000000"/>
        </w:rPr>
      </w:pPr>
      <w:r w:rsidRPr="00320D34">
        <w:rPr>
          <w:rFonts w:ascii="Helvetica" w:hAnsi="Helvetica"/>
          <w:color w:val="000000"/>
        </w:rPr>
        <w:t>The 70% gearing ratio represents immediate sustainability threats, exceeding industry benchmarks of 40-50% by substantial margins. This leverage amplifies both returns and risks while consuming significant cash flow through debt service, reducing reinvestment capacity for operational improvements and employee development.</w:t>
      </w:r>
    </w:p>
    <w:p w:rsidR="00320D34" w:rsidRPr="00320D34" w:rsidRDefault="00320D34" w:rsidP="006652A8">
      <w:pPr>
        <w:pStyle w:val="NormalWeb"/>
        <w:rPr>
          <w:rFonts w:ascii="Helvetica" w:hAnsi="Helvetica"/>
          <w:color w:val="000000"/>
        </w:rPr>
      </w:pPr>
      <w:r w:rsidRPr="00320D34">
        <w:rPr>
          <w:rFonts w:ascii="Helvetica" w:hAnsi="Helvetica"/>
          <w:color w:val="000000"/>
        </w:rPr>
        <w:lastRenderedPageBreak/>
        <w:t>Return on equity appears artificially inflated due to high financial leverage, masking underlying operational performance issues. Cash flow analysis becomes critical given high fixed costs from refrigerated infrastructure and rising ingredient prices that pressure margins.</w:t>
      </w:r>
    </w:p>
    <w:p w:rsidR="00320D34" w:rsidRPr="00320D34" w:rsidRDefault="00320D34" w:rsidP="006652A8">
      <w:pPr>
        <w:pStyle w:val="Heading2"/>
        <w:rPr>
          <w:rFonts w:ascii="Helvetica" w:hAnsi="Helvetica"/>
          <w:color w:val="000000"/>
        </w:rPr>
      </w:pPr>
      <w:r w:rsidRPr="00320D34">
        <w:rPr>
          <w:rFonts w:ascii="Helvetica" w:hAnsi="Helvetica"/>
          <w:color w:val="000000"/>
        </w:rPr>
        <w:t>Strategic Framework Integration</w:t>
      </w:r>
    </w:p>
    <w:p w:rsidR="00320D34" w:rsidRPr="00320D34" w:rsidRDefault="00320D34" w:rsidP="006652A8">
      <w:pPr>
        <w:pStyle w:val="Heading3"/>
        <w:rPr>
          <w:rFonts w:ascii="Helvetica" w:hAnsi="Helvetica"/>
          <w:color w:val="000000"/>
        </w:rPr>
      </w:pPr>
      <w:r w:rsidRPr="00320D34">
        <w:rPr>
          <w:rFonts w:ascii="Helvetica" w:hAnsi="Helvetica"/>
          <w:color w:val="000000"/>
        </w:rPr>
        <w:t>Balanced Scorecard Approach</w:t>
      </w:r>
    </w:p>
    <w:p w:rsidR="00320D34" w:rsidRPr="00320D34" w:rsidRDefault="00320D34" w:rsidP="006652A8">
      <w:pPr>
        <w:pStyle w:val="NormalWeb"/>
        <w:rPr>
          <w:rFonts w:ascii="Helvetica" w:hAnsi="Helvetica"/>
          <w:color w:val="000000"/>
        </w:rPr>
      </w:pPr>
      <w:r w:rsidRPr="00320D34">
        <w:rPr>
          <w:rFonts w:ascii="Helvetica" w:hAnsi="Helvetica"/>
          <w:color w:val="000000"/>
        </w:rPr>
        <w:t>The strategic plan employs comprehensive Balanced Scorecard metrics across four perspectives: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Financial Perspective</w:t>
      </w:r>
      <w:r w:rsidRPr="00320D34">
        <w:rPr>
          <w:rFonts w:ascii="Helvetica" w:hAnsi="Helvetica"/>
          <w:color w:val="000000"/>
        </w:rPr>
        <w:t>: Reduce gearing ratio from 70% to 40% within two years, achieve positive cash flow by year three, maintain gross margins at 35% through operational efficiency, and decrease cost per delivery by 20% through optimization.</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Customer Perspective</w:t>
      </w:r>
      <w:r w:rsidRPr="00320D34">
        <w:rPr>
          <w:rFonts w:ascii="Helvetica" w:hAnsi="Helvetica"/>
          <w:color w:val="000000"/>
        </w:rPr>
        <w:t>: Maintain 90% dietary improvement satisfaction while increasing retention to 85% annually, improve recipe instruction clarity to reduce service inquiries by 30%, and standardize portion sizes to address current concerns.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Internal Process Perspective</w:t>
      </w:r>
      <w:r w:rsidRPr="00320D34">
        <w:rPr>
          <w:rFonts w:ascii="Helvetica" w:hAnsi="Helvetica"/>
          <w:color w:val="000000"/>
        </w:rPr>
        <w:t>: Achieve 95% on-time delivery, improve inventory turnover, reduce waste below 5%, and increase kitchen utilization from 60% to 80% through workflow optimization.</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Learning and Growth Perspective</w:t>
      </w:r>
      <w:r w:rsidRPr="00320D34">
        <w:rPr>
          <w:rFonts w:ascii="Helvetica" w:hAnsi="Helvetica"/>
          <w:color w:val="000000"/>
        </w:rPr>
        <w:t>: Reverse morale crisis through above-average employee satisfaction, implement career development for all employees, reduce turnover below 15%, and demonstrate measurable leadership effectiveness improvements.</w:t>
      </w:r>
    </w:p>
    <w:p w:rsidR="00320D34" w:rsidRPr="00320D34" w:rsidRDefault="00320D34" w:rsidP="006652A8">
      <w:pPr>
        <w:pStyle w:val="Heading2"/>
        <w:rPr>
          <w:rFonts w:ascii="Helvetica" w:hAnsi="Helvetica"/>
          <w:color w:val="000000"/>
        </w:rPr>
      </w:pPr>
      <w:r w:rsidRPr="00320D34">
        <w:rPr>
          <w:rFonts w:ascii="Helvetica" w:hAnsi="Helvetica"/>
          <w:color w:val="000000"/>
        </w:rPr>
        <w:t>Five-Year Strategic Implementation Plan</w:t>
      </w:r>
    </w:p>
    <w:p w:rsidR="00320D34" w:rsidRPr="00320D34" w:rsidRDefault="00320D34" w:rsidP="006652A8">
      <w:pPr>
        <w:pStyle w:val="Heading3"/>
        <w:rPr>
          <w:rFonts w:ascii="Helvetica" w:hAnsi="Helvetica"/>
          <w:color w:val="000000"/>
        </w:rPr>
      </w:pPr>
      <w:r w:rsidRPr="00320D34">
        <w:rPr>
          <w:rFonts w:ascii="Helvetica" w:hAnsi="Helvetica"/>
          <w:color w:val="000000"/>
        </w:rPr>
        <w:t>Year One: Financial Restructuring and Cultural Foundation (Stabilization)</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Immediate Priority</w:t>
      </w:r>
      <w:r w:rsidRPr="00320D34">
        <w:rPr>
          <w:rFonts w:ascii="Helvetica" w:hAnsi="Helvetica"/>
          <w:color w:val="000000"/>
        </w:rPr>
        <w:t>: Secure $3.5 million equity financing to reduce gearing ratio to 45%, targeting impact investors with social enterprise experience. Expected 25-30% dilution provides essential financial flexibility while eliminating bankruptcy risk.</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Cultural Transformation</w:t>
      </w:r>
      <w:r w:rsidRPr="00320D34">
        <w:rPr>
          <w:rFonts w:ascii="Helvetica" w:hAnsi="Helvetica"/>
          <w:color w:val="000000"/>
        </w:rPr>
        <w:t>: Implement comprehensive leadership development (40 hours training), establish participatory decision-making, create transparent communication systems, and launch employee recognition programs celebrating both performance and mission alignment.</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lastRenderedPageBreak/>
        <w:t>Operational Improvements</w:t>
      </w:r>
      <w:r w:rsidRPr="00320D34">
        <w:rPr>
          <w:rFonts w:ascii="Helvetica" w:hAnsi="Helvetica"/>
          <w:color w:val="000000"/>
        </w:rPr>
        <w:t>: Deploy inventory management systems, strengthen supplier relationships through long-term contracts, and optimize delivery routes. Target 15% cost reduction and inventory waste reduction from 8% to 5%.</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Financial Targets</w:t>
      </w:r>
      <w:r w:rsidRPr="00320D34">
        <w:rPr>
          <w:rFonts w:ascii="Helvetica" w:hAnsi="Helvetica"/>
          <w:color w:val="000000"/>
        </w:rPr>
        <w:t>: Generate $400,000 annual savings through efficiency improvements while maintaining service quality and mission focus.</w:t>
      </w:r>
    </w:p>
    <w:p w:rsidR="00320D34" w:rsidRPr="00320D34" w:rsidRDefault="00320D34" w:rsidP="006652A8">
      <w:pPr>
        <w:pStyle w:val="Heading3"/>
        <w:rPr>
          <w:rFonts w:ascii="Helvetica" w:hAnsi="Helvetica"/>
          <w:color w:val="000000"/>
        </w:rPr>
      </w:pPr>
      <w:r w:rsidRPr="00320D34">
        <w:rPr>
          <w:rFonts w:ascii="Helvetica" w:hAnsi="Helvetica"/>
          <w:color w:val="000000"/>
        </w:rPr>
        <w:t>Year Two: Operational Excellence and Technology Integration (Optimization)</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Technology Investment</w:t>
      </w:r>
      <w:r w:rsidRPr="00320D34">
        <w:rPr>
          <w:rFonts w:ascii="Helvetica" w:hAnsi="Helvetica"/>
          <w:color w:val="000000"/>
        </w:rPr>
        <w:t>: Deploy $500,000 in CRM systems, route optimization software, and demand forecasting tools, generating $200,000 annual savings through improved efficiency.</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Employee Ownership</w:t>
      </w:r>
      <w:r w:rsidRPr="00320D34">
        <w:rPr>
          <w:rFonts w:ascii="Helvetica" w:hAnsi="Helvetica"/>
          <w:color w:val="000000"/>
        </w:rPr>
        <w:t>: Implement Employee Stock Ownership Plan (ESOP) providing equity participation based on tenure and performance, aligning worker interests with company success.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Customer Experience</w:t>
      </w:r>
      <w:r w:rsidRPr="00320D34">
        <w:rPr>
          <w:rFonts w:ascii="Helvetica" w:hAnsi="Helvetica"/>
          <w:color w:val="000000"/>
        </w:rPr>
        <w:t>: Address recipe clarity through multilingual materials and QR-coded video tutorials, standardize portions, and reduce customer service volume by 30%.</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Capacity Optimization</w:t>
      </w:r>
      <w:r w:rsidRPr="00320D34">
        <w:rPr>
          <w:rFonts w:ascii="Helvetica" w:hAnsi="Helvetica"/>
          <w:color w:val="000000"/>
        </w:rPr>
        <w:t>: Increase kitchen utilization to 80% through workflow improvements and cross-training programs providing operational flexibility.</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Financial Targets</w:t>
      </w:r>
      <w:r w:rsidRPr="00320D34">
        <w:rPr>
          <w:rFonts w:ascii="Helvetica" w:hAnsi="Helvetica"/>
          <w:color w:val="000000"/>
        </w:rPr>
        <w:t>: Achieve positive EBITDA, maintain 45% gearing ratio, demonstrate 20% revenue growth through retention and efficiency.</w:t>
      </w:r>
    </w:p>
    <w:p w:rsidR="00320D34" w:rsidRPr="00320D34" w:rsidRDefault="00320D34" w:rsidP="006652A8">
      <w:pPr>
        <w:pStyle w:val="Heading3"/>
        <w:rPr>
          <w:rFonts w:ascii="Helvetica" w:hAnsi="Helvetica"/>
          <w:color w:val="000000"/>
        </w:rPr>
      </w:pPr>
      <w:r w:rsidRPr="00320D34">
        <w:rPr>
          <w:rFonts w:ascii="Helvetica" w:hAnsi="Helvetica"/>
          <w:color w:val="000000"/>
        </w:rPr>
        <w:t>Year Three: Strategic Market Expansion (Growth)</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Geographic Expansion</w:t>
      </w:r>
      <w:r w:rsidRPr="00320D34">
        <w:rPr>
          <w:rFonts w:ascii="Helvetica" w:hAnsi="Helvetica"/>
          <w:color w:val="000000"/>
        </w:rPr>
        <w:t>: Enter adjacent markets with similar demographic characteristics, prioritizing locations within existing delivery range before establishing new kitchens.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Product Diversification</w:t>
      </w:r>
      <w:r w:rsidRPr="00320D34">
        <w:rPr>
          <w:rFonts w:ascii="Helvetica" w:hAnsi="Helvetica"/>
          <w:color w:val="000000"/>
        </w:rPr>
        <w:t>: Launch fresh produce boxes, prepared meals for elderly customers, and institutional partnerships with schools and healthcare facilities providing revenue stability.</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Strategic Partnerships</w:t>
      </w:r>
      <w:r w:rsidRPr="00320D34">
        <w:rPr>
          <w:rFonts w:ascii="Helvetica" w:hAnsi="Helvetica"/>
          <w:color w:val="000000"/>
        </w:rPr>
        <w:t>: Develop relationships with community health organizations creating sustainable revenue streams while amplifying measurable social impact.</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Financial Targets</w:t>
      </w:r>
      <w:r w:rsidRPr="00320D34">
        <w:rPr>
          <w:rFonts w:ascii="Helvetica" w:hAnsi="Helvetica"/>
          <w:color w:val="000000"/>
        </w:rPr>
        <w:t>: Achieve 35% revenue growth, maintain positive cash flow through all investments, reach industry-standard 35% gross margins through scale efficiencies.</w:t>
      </w:r>
    </w:p>
    <w:p w:rsidR="00320D34" w:rsidRPr="00320D34" w:rsidRDefault="00320D34" w:rsidP="006652A8">
      <w:pPr>
        <w:pStyle w:val="Heading3"/>
        <w:rPr>
          <w:rFonts w:ascii="Helvetica" w:hAnsi="Helvetica"/>
          <w:color w:val="000000"/>
        </w:rPr>
      </w:pPr>
      <w:r w:rsidRPr="00320D34">
        <w:rPr>
          <w:rFonts w:ascii="Helvetica" w:hAnsi="Helvetica"/>
          <w:color w:val="000000"/>
        </w:rPr>
        <w:lastRenderedPageBreak/>
        <w:t>Year Four: Technology-Enabled Scaling (Leverage)</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Automation Strategy</w:t>
      </w:r>
      <w:r w:rsidRPr="00320D34">
        <w:rPr>
          <w:rFonts w:ascii="Helvetica" w:hAnsi="Helvetica"/>
          <w:color w:val="000000"/>
        </w:rPr>
        <w:t>: Implement technology for high-volume tasks while preserving employment quality, deploy predictive analytics for demand forecasting and inventory optimization.</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Franchise Development</w:t>
      </w:r>
      <w:r w:rsidRPr="00320D34">
        <w:rPr>
          <w:rFonts w:ascii="Helvetica" w:hAnsi="Helvetica"/>
          <w:color w:val="000000"/>
        </w:rPr>
        <w:t>: Create expansion model enabling local ownership by mission-aligned entrepreneurs while maintaining quality standards and community focus.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Platform Development</w:t>
      </w:r>
      <w:r w:rsidRPr="00320D34">
        <w:rPr>
          <w:rFonts w:ascii="Helvetica" w:hAnsi="Helvetica"/>
          <w:color w:val="000000"/>
        </w:rPr>
        <w:t>: Launch mobile application with ordering convenience, nutritional tracking, and community building capabilities strengthening customer engagement.</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Financial Objectives</w:t>
      </w:r>
      <w:r w:rsidRPr="00320D34">
        <w:rPr>
          <w:rFonts w:ascii="Helvetica" w:hAnsi="Helvetica"/>
          <w:color w:val="000000"/>
        </w:rPr>
        <w:t>: Achieve 25% revenue growth, maintain debt below 35% of capital structure, demonstrate consistent profitability supporting employee owner dividends.</w:t>
      </w:r>
    </w:p>
    <w:p w:rsidR="00320D34" w:rsidRPr="00320D34" w:rsidRDefault="00320D34" w:rsidP="006652A8">
      <w:pPr>
        <w:pStyle w:val="Heading3"/>
        <w:rPr>
          <w:rFonts w:ascii="Helvetica" w:hAnsi="Helvetica"/>
          <w:color w:val="000000"/>
        </w:rPr>
      </w:pPr>
      <w:r w:rsidRPr="00320D34">
        <w:rPr>
          <w:rFonts w:ascii="Helvetica" w:hAnsi="Helvetica"/>
          <w:color w:val="000000"/>
        </w:rPr>
        <w:t>Year Five: Sustainable Leadership and Legacy Creation (Maturity)</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Leadership Development</w:t>
      </w:r>
      <w:r w:rsidRPr="00320D34">
        <w:rPr>
          <w:rFonts w:ascii="Helvetica" w:hAnsi="Helvetica"/>
          <w:color w:val="000000"/>
        </w:rPr>
        <w:t>: Prepare internal candidates for senior roles ensuring mission continuity beyond founder leadership while maintaining commitment to social impact.</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Industry Leadership</w:t>
      </w:r>
      <w:r w:rsidRPr="00320D34">
        <w:rPr>
          <w:rFonts w:ascii="Helvetica" w:hAnsi="Helvetica"/>
          <w:color w:val="000000"/>
        </w:rPr>
        <w:t>: Establish best practices for social enterprises, create advocacy platforms for food justice, and advance sustainable business model understanding.</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Community Impact</w:t>
      </w:r>
      <w:r w:rsidRPr="00320D34">
        <w:rPr>
          <w:rFonts w:ascii="Helvetica" w:hAnsi="Helvetica"/>
          <w:color w:val="000000"/>
        </w:rPr>
        <w:t>: Document measurable health improvements in served communities, local economic development contributions, and successful model replication by other organizations.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Exit Strategy</w:t>
      </w:r>
      <w:r w:rsidRPr="00320D34">
        <w:rPr>
          <w:rFonts w:ascii="Helvetica" w:hAnsi="Helvetica"/>
          <w:color w:val="000000"/>
        </w:rPr>
        <w:t>: Position for potential IPO, mission-aligned acquisition, or full cooperative conversion preserving social mission while providing founder liquidity.</w:t>
      </w:r>
    </w:p>
    <w:p w:rsidR="00320D34" w:rsidRPr="00320D34" w:rsidRDefault="00320D34" w:rsidP="006652A8">
      <w:pPr>
        <w:pStyle w:val="Heading2"/>
        <w:rPr>
          <w:rFonts w:ascii="Helvetica" w:hAnsi="Helvetica"/>
          <w:color w:val="000000"/>
        </w:rPr>
      </w:pPr>
      <w:r w:rsidRPr="00320D34">
        <w:rPr>
          <w:rFonts w:ascii="Helvetica" w:hAnsi="Helvetica"/>
          <w:color w:val="000000"/>
        </w:rPr>
        <w:t>Implementation Strategy and Risk Management</w:t>
      </w:r>
    </w:p>
    <w:p w:rsidR="00320D34" w:rsidRPr="00320D34" w:rsidRDefault="00320D34" w:rsidP="006652A8">
      <w:pPr>
        <w:pStyle w:val="Heading3"/>
        <w:rPr>
          <w:rFonts w:ascii="Helvetica" w:hAnsi="Helvetica"/>
          <w:color w:val="000000"/>
        </w:rPr>
      </w:pPr>
      <w:r w:rsidRPr="00320D34">
        <w:rPr>
          <w:rFonts w:ascii="Helvetica" w:hAnsi="Helvetica"/>
          <w:color w:val="000000"/>
        </w:rPr>
        <w:t>Change Management Using Kotter's Framework</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Creating Urgency</w:t>
      </w:r>
      <w:r w:rsidRPr="00320D34">
        <w:rPr>
          <w:rFonts w:ascii="Helvetica" w:hAnsi="Helvetica"/>
          <w:color w:val="000000"/>
        </w:rPr>
        <w:t>: Transparent communication about financial risks while emphasizing enhanced social impact opportunities through operational improvements.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Building Coalition</w:t>
      </w:r>
      <w:r w:rsidRPr="00320D34">
        <w:rPr>
          <w:rFonts w:ascii="Helvetica" w:hAnsi="Helvetica"/>
          <w:color w:val="000000"/>
        </w:rPr>
        <w:t>: Identify influential employees across all organizational levels demonstrating operational competence and mission commitment.</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lastRenderedPageBreak/>
        <w:t>Vision Development</w:t>
      </w:r>
      <w:r w:rsidRPr="00320D34">
        <w:rPr>
          <w:rFonts w:ascii="Helvetica" w:hAnsi="Helvetica"/>
          <w:color w:val="000000"/>
        </w:rPr>
        <w:t>: Collaborative process incorporating employee insights while maintaining strategic coherence, clearly articulating how operational changes enable greater social impact.</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Empowering Action</w:t>
      </w:r>
      <w:r w:rsidRPr="00320D34">
        <w:rPr>
          <w:rFonts w:ascii="Helvetica" w:hAnsi="Helvetica"/>
          <w:color w:val="000000"/>
        </w:rPr>
        <w:t>: Remove barriers to employee initiative, provide improvement resources, and recognize transformation contributions through decentralized decision-making authority.</w:t>
      </w:r>
    </w:p>
    <w:p w:rsidR="00320D34" w:rsidRPr="00320D34" w:rsidRDefault="00320D34" w:rsidP="006652A8">
      <w:pPr>
        <w:pStyle w:val="Heading3"/>
        <w:rPr>
          <w:rFonts w:ascii="Helvetica" w:hAnsi="Helvetica"/>
          <w:color w:val="000000"/>
        </w:rPr>
      </w:pPr>
      <w:r w:rsidRPr="00320D34">
        <w:rPr>
          <w:rFonts w:ascii="Helvetica" w:hAnsi="Helvetica"/>
          <w:color w:val="000000"/>
        </w:rPr>
        <w:t>Critical Risk Mitigation</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Financial Risk</w:t>
      </w:r>
      <w:r w:rsidRPr="00320D34">
        <w:rPr>
          <w:rFonts w:ascii="Helvetica" w:hAnsi="Helvetica"/>
          <w:color w:val="000000"/>
        </w:rPr>
        <w:t>: Maintain conservative cash flow management, develop diversified revenue streams, and strengthen relationships with multiple financing sources. Monitor key ratios quarterly with corrective action triggers.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Operational Risk</w:t>
      </w:r>
      <w:r w:rsidRPr="00320D34">
        <w:rPr>
          <w:rFonts w:ascii="Helvetica" w:hAnsi="Helvetica"/>
          <w:color w:val="000000"/>
        </w:rPr>
        <w:t>: Diversify suppliers, maintain inventory buffers, develop alternative sourcing arrangements, and implement comprehensive technology backup systems ensuring business continuity.</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Strategic Risk</w:t>
      </w:r>
      <w:r w:rsidRPr="00320D34">
        <w:rPr>
          <w:rFonts w:ascii="Helvetica" w:hAnsi="Helvetica"/>
          <w:color w:val="000000"/>
        </w:rPr>
        <w:t>: Continuous innovation focus, strong customer relationship maintenance, and operational excellence creating sustainable differentiation beyond first-mover advantages in underserved markets.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Mission Risk</w:t>
      </w:r>
      <w:r w:rsidRPr="00320D34">
        <w:rPr>
          <w:rFonts w:ascii="Helvetica" w:hAnsi="Helvetica"/>
          <w:color w:val="000000"/>
        </w:rPr>
        <w:t>: Regular operational decision assessment against mission values, stakeholder feedback incorporation, and board oversight maintaining social impact accountability alongside financial performance.</w:t>
      </w:r>
    </w:p>
    <w:p w:rsidR="00320D34" w:rsidRPr="00320D34" w:rsidRDefault="00320D34" w:rsidP="006652A8">
      <w:pPr>
        <w:pStyle w:val="Heading2"/>
        <w:rPr>
          <w:rFonts w:ascii="Helvetica" w:hAnsi="Helvetica"/>
          <w:color w:val="000000"/>
        </w:rPr>
      </w:pPr>
      <w:r w:rsidRPr="00320D34">
        <w:rPr>
          <w:rFonts w:ascii="Helvetica" w:hAnsi="Helvetica"/>
          <w:color w:val="000000"/>
        </w:rPr>
        <w:t>Financial Projections and Success Metrics</w:t>
      </w:r>
    </w:p>
    <w:p w:rsidR="00320D34" w:rsidRPr="00320D34" w:rsidRDefault="00320D34" w:rsidP="006652A8">
      <w:pPr>
        <w:pStyle w:val="Heading3"/>
        <w:rPr>
          <w:rFonts w:ascii="Helvetica" w:hAnsi="Helvetica"/>
          <w:color w:val="000000"/>
        </w:rPr>
      </w:pPr>
      <w:r w:rsidRPr="00320D34">
        <w:rPr>
          <w:rFonts w:ascii="Helvetica" w:hAnsi="Helvetica"/>
          <w:color w:val="000000"/>
        </w:rPr>
        <w:t>Five-Year Financial Model</w:t>
      </w:r>
    </w:p>
    <w:p w:rsidR="00320D34" w:rsidRPr="00320D34" w:rsidRDefault="00320D34" w:rsidP="006652A8">
      <w:pPr>
        <w:pStyle w:val="NormalWeb"/>
        <w:rPr>
          <w:rFonts w:ascii="Helvetica" w:hAnsi="Helvetica"/>
          <w:color w:val="000000"/>
        </w:rPr>
      </w:pPr>
      <w:r w:rsidRPr="00320D34">
        <w:rPr>
          <w:rFonts w:ascii="Helvetica" w:hAnsi="Helvetica"/>
          <w:color w:val="000000"/>
        </w:rPr>
        <w:t>Revenue projections assume 25% annual growth through Year Three, moderating to 20% in Year Four and 15% in Year Five. Base case revenue grows from current $2.5 million to $8.1 million by Year Five.</w:t>
      </w:r>
    </w:p>
    <w:p w:rsidR="00320D34" w:rsidRPr="00320D34" w:rsidRDefault="00320D34" w:rsidP="006652A8">
      <w:pPr>
        <w:pStyle w:val="NormalWeb"/>
        <w:rPr>
          <w:rFonts w:ascii="Helvetica" w:hAnsi="Helvetica"/>
          <w:color w:val="000000"/>
        </w:rPr>
      </w:pPr>
      <w:r w:rsidRPr="00320D34">
        <w:rPr>
          <w:rFonts w:ascii="Helvetica" w:hAnsi="Helvetica"/>
          <w:color w:val="000000"/>
        </w:rPr>
        <w:t>Gross margin expansion from 25% to 35% by Year Three through operational efficiency and scale economics. Operating margin achieves 8% by Year Five through disciplined expense management and productivity improvements.</w:t>
      </w:r>
    </w:p>
    <w:p w:rsidR="00320D34" w:rsidRPr="00320D34" w:rsidRDefault="00320D34" w:rsidP="006652A8">
      <w:pPr>
        <w:pStyle w:val="NormalWeb"/>
        <w:rPr>
          <w:rFonts w:ascii="Helvetica" w:hAnsi="Helvetica"/>
          <w:color w:val="000000"/>
        </w:rPr>
      </w:pPr>
      <w:r w:rsidRPr="00320D34">
        <w:rPr>
          <w:rFonts w:ascii="Helvetica" w:hAnsi="Helvetica"/>
          <w:color w:val="000000"/>
        </w:rPr>
        <w:t>Capital requirements include $3.5 million Year One equity raise, $500,000 Year Two technology investment, and $1.2 million Year Three expansion capital. Positive cash flow generation begins Year Three with $2.1 million cumulative positive cash flow by Year Five.</w:t>
      </w:r>
    </w:p>
    <w:p w:rsidR="00320D34" w:rsidRPr="00320D34" w:rsidRDefault="00320D34" w:rsidP="006652A8">
      <w:pPr>
        <w:pStyle w:val="Heading3"/>
        <w:rPr>
          <w:rFonts w:ascii="Helvetica" w:hAnsi="Helvetica"/>
          <w:color w:val="000000"/>
        </w:rPr>
      </w:pPr>
      <w:r w:rsidRPr="00320D34">
        <w:rPr>
          <w:rFonts w:ascii="Helvetica" w:hAnsi="Helvetica"/>
          <w:color w:val="000000"/>
        </w:rPr>
        <w:t>Key Performance Indicators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lastRenderedPageBreak/>
        <w:t>Financial Metrics</w:t>
      </w:r>
      <w:r w:rsidRPr="00320D34">
        <w:rPr>
          <w:rFonts w:ascii="Helvetica" w:hAnsi="Helvetica"/>
          <w:color w:val="000000"/>
        </w:rPr>
        <w:t>: Gearing ratio below 40%, return on invested capital exceeding 15%, cash conversion cycle optimization through inventory management.</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Operational Indicators</w:t>
      </w:r>
      <w:r w:rsidRPr="00320D34">
        <w:rPr>
          <w:rFonts w:ascii="Helvetica" w:hAnsi="Helvetica"/>
          <w:color w:val="000000"/>
        </w:rPr>
        <w:t>: Customer retention above 80%, delivery reliability exceeding 95%, cost per delivery reduction of 25%.</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Social Impact Measurements</w:t>
      </w:r>
      <w:r w:rsidRPr="00320D34">
        <w:rPr>
          <w:rFonts w:ascii="Helvetica" w:hAnsi="Helvetica"/>
          <w:color w:val="000000"/>
        </w:rPr>
        <w:t>: Customer dietary improvement maintenance at 90%, community health outcome tracking, local economic development contributions.</w:t>
      </w:r>
    </w:p>
    <w:p w:rsidR="00320D34" w:rsidRPr="00320D34" w:rsidRDefault="00320D34" w:rsidP="006652A8">
      <w:pPr>
        <w:pStyle w:val="NormalWeb"/>
        <w:rPr>
          <w:rFonts w:ascii="Helvetica" w:hAnsi="Helvetica"/>
          <w:color w:val="000000"/>
        </w:rPr>
      </w:pPr>
      <w:r w:rsidRPr="00320D34">
        <w:rPr>
          <w:rStyle w:val="Strong"/>
          <w:rFonts w:ascii="Helvetica" w:hAnsi="Helvetica"/>
          <w:color w:val="000000"/>
        </w:rPr>
        <w:t>Employee Engagement</w:t>
      </w:r>
      <w:r w:rsidRPr="00320D34">
        <w:rPr>
          <w:rFonts w:ascii="Helvetica" w:hAnsi="Helvetica"/>
          <w:color w:val="000000"/>
        </w:rPr>
        <w:t>: Satisfaction scores in industry top quartile, annual turnover below 15%, internal promotion rates above 60%.</w:t>
      </w:r>
    </w:p>
    <w:p w:rsidR="00320D34" w:rsidRPr="00320D34" w:rsidRDefault="00320D34" w:rsidP="006652A8">
      <w:pPr>
        <w:pStyle w:val="Heading2"/>
        <w:rPr>
          <w:rFonts w:ascii="Helvetica" w:hAnsi="Helvetica"/>
          <w:color w:val="000000"/>
        </w:rPr>
      </w:pPr>
      <w:r w:rsidRPr="00320D34">
        <w:rPr>
          <w:rFonts w:ascii="Helvetica" w:hAnsi="Helvetica"/>
          <w:color w:val="000000"/>
        </w:rPr>
        <w:t>Conclusion</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w:t>
      </w:r>
      <w:proofErr w:type="spellEnd"/>
      <w:r w:rsidRPr="00320D34">
        <w:rPr>
          <w:rFonts w:ascii="Helvetica" w:hAnsi="Helvetica"/>
          <w:color w:val="000000"/>
        </w:rPr>
        <w:t xml:space="preserve"> possesses exceptional market validation and mission authenticity providing foundation for sustainable success. However, current financial structure and management practices create existential threats requiring immediate comprehensive intervention. This strategic plan addresses these challenges through systematic transformation honoring company values while ensuring business viability.</w:t>
      </w:r>
    </w:p>
    <w:p w:rsidR="00320D34" w:rsidRPr="00320D34" w:rsidRDefault="00320D34" w:rsidP="006652A8">
      <w:pPr>
        <w:pStyle w:val="NormalWeb"/>
        <w:rPr>
          <w:rFonts w:ascii="Helvetica" w:hAnsi="Helvetica"/>
          <w:color w:val="000000"/>
        </w:rPr>
      </w:pPr>
      <w:r w:rsidRPr="00320D34">
        <w:rPr>
          <w:rFonts w:ascii="Helvetica" w:hAnsi="Helvetica"/>
          <w:color w:val="000000"/>
        </w:rPr>
        <w:t>Success requires authentic leadership commitment to cultural change, employee engagement in transformation efforts, and disciplined execution of financial and operational improvements. The interconnected nature of challenges demands integrated solutions treating financial health, operational efficiency, and cultural alignment as mutually reinforcing elements.</w:t>
      </w:r>
    </w:p>
    <w:p w:rsidR="00320D34" w:rsidRPr="00320D34" w:rsidRDefault="00320D34" w:rsidP="006652A8">
      <w:pPr>
        <w:pStyle w:val="NormalWeb"/>
        <w:rPr>
          <w:rFonts w:ascii="Helvetica" w:hAnsi="Helvetica"/>
          <w:color w:val="000000"/>
        </w:rPr>
      </w:pPr>
      <w:r w:rsidRPr="00320D34">
        <w:rPr>
          <w:rFonts w:ascii="Helvetica" w:hAnsi="Helvetica"/>
          <w:color w:val="000000"/>
        </w:rPr>
        <w:t>The strategic plan's ultimate success depends on maintaining unwavering commitment to social mission while building operational capabilities and financial strength necessary for long-term sustainability. This balance requires sophisticated leadership, engaged employees, and supportive stakeholders understanding that authentic social impact requires business excellence, not compromise with mediocrity.</w:t>
      </w:r>
    </w:p>
    <w:p w:rsidR="00000000" w:rsidRPr="00320D34" w:rsidRDefault="00000000" w:rsidP="006652A8">
      <w:pPr>
        <w:rPr>
          <w:rFonts w:ascii="Helvetica" w:hAnsi="Helvetica"/>
        </w:rPr>
      </w:pPr>
    </w:p>
    <w:sectPr w:rsidR="0036499F" w:rsidRPr="00320D34"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34"/>
    <w:rsid w:val="00046985"/>
    <w:rsid w:val="003076DB"/>
    <w:rsid w:val="00320D34"/>
    <w:rsid w:val="004731F5"/>
    <w:rsid w:val="006652A8"/>
    <w:rsid w:val="007150F4"/>
    <w:rsid w:val="009A4CA5"/>
    <w:rsid w:val="00A941F8"/>
    <w:rsid w:val="00AC207E"/>
    <w:rsid w:val="00AF0A19"/>
    <w:rsid w:val="00BA6CAF"/>
    <w:rsid w:val="00C677DE"/>
    <w:rsid w:val="00D6200E"/>
    <w:rsid w:val="00D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3432C"/>
  <w14:defaultImageDpi w14:val="32767"/>
  <w15:chartTrackingRefBased/>
  <w15:docId w15:val="{7A4F806E-D037-0A4F-AC38-9417331F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320D3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0D3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20D3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34"/>
    <w:rPr>
      <w:rFonts w:ascii="Times New Roman" w:eastAsia="Times New Roman" w:hAnsi="Times New Roman" w:cs="Times New Roman"/>
      <w:b/>
      <w:bCs/>
      <w:kern w:val="36"/>
      <w:sz w:val="48"/>
      <w:szCs w:val="48"/>
      <w:lang w:val="en-CA"/>
      <w14:ligatures w14:val="none"/>
    </w:rPr>
  </w:style>
  <w:style w:type="character" w:customStyle="1" w:styleId="Heading2Char">
    <w:name w:val="Heading 2 Char"/>
    <w:basedOn w:val="DefaultParagraphFont"/>
    <w:link w:val="Heading2"/>
    <w:uiPriority w:val="9"/>
    <w:rsid w:val="00320D34"/>
    <w:rPr>
      <w:rFonts w:ascii="Times New Roman" w:eastAsia="Times New Roman" w:hAnsi="Times New Roman" w:cs="Times New Roman"/>
      <w:b/>
      <w:bCs/>
      <w:kern w:val="0"/>
      <w:sz w:val="36"/>
      <w:szCs w:val="36"/>
      <w:lang w:val="en-CA"/>
      <w14:ligatures w14:val="none"/>
    </w:rPr>
  </w:style>
  <w:style w:type="character" w:customStyle="1" w:styleId="Heading3Char">
    <w:name w:val="Heading 3 Char"/>
    <w:basedOn w:val="DefaultParagraphFont"/>
    <w:link w:val="Heading3"/>
    <w:uiPriority w:val="9"/>
    <w:rsid w:val="00320D34"/>
    <w:rPr>
      <w:rFonts w:ascii="Times New Roman" w:eastAsia="Times New Roman" w:hAnsi="Times New Roman" w:cs="Times New Roman"/>
      <w:b/>
      <w:bCs/>
      <w:kern w:val="0"/>
      <w:sz w:val="27"/>
      <w:szCs w:val="27"/>
      <w:lang w:val="en-CA"/>
      <w14:ligatures w14:val="none"/>
    </w:rPr>
  </w:style>
  <w:style w:type="paragraph" w:styleId="NormalWeb">
    <w:name w:val="Normal (Web)"/>
    <w:basedOn w:val="Normal"/>
    <w:uiPriority w:val="99"/>
    <w:semiHidden/>
    <w:unhideWhenUsed/>
    <w:rsid w:val="00320D3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0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92346">
      <w:bodyDiv w:val="1"/>
      <w:marLeft w:val="0"/>
      <w:marRight w:val="0"/>
      <w:marTop w:val="0"/>
      <w:marBottom w:val="0"/>
      <w:divBdr>
        <w:top w:val="none" w:sz="0" w:space="0" w:color="auto"/>
        <w:left w:val="none" w:sz="0" w:space="0" w:color="auto"/>
        <w:bottom w:val="none" w:sz="0" w:space="0" w:color="auto"/>
        <w:right w:val="none" w:sz="0" w:space="0" w:color="auto"/>
      </w:divBdr>
    </w:div>
    <w:div w:id="157319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Edimaobong Udo</dc:creator>
  <cp:keywords/>
  <dc:description/>
  <cp:lastModifiedBy>Edimaobong Udo</cp:lastModifiedBy>
  <cp:revision>1</cp:revision>
  <dcterms:created xsi:type="dcterms:W3CDTF">2025-07-21T17:29:00Z</dcterms:created>
  <dcterms:modified xsi:type="dcterms:W3CDTF">2025-07-21T18:22:00Z</dcterms:modified>
</cp:coreProperties>
</file>