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AI Risk Report Template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ai_risk_report.docx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ai_risk_report.pdf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Length: </w:t>
      </w:r>
      <w:r w:rsidDel="00000000" w:rsidR="00000000" w:rsidRPr="00000000">
        <w:rPr>
          <w:rtl w:val="0"/>
        </w:rPr>
        <w:t xml:space="preserve">3–6 pages recommended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x1noh67zmxlo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Project Title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Your team name and 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t1kh3wwlbddy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 Problem Overview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was the task? (e.g., Predict loan approval)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Why does it matter in a real-world or ethical context?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dataset were you given, and what were the known sensitive attributes?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u0uhv5i8vq16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Model Summary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model(s) did you use and why?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Key preprocessing, feature engineering, or hyperparameter choices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Performance on internal validation data (accuracy, precision, recall,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81ogogio7m73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3. Bias Detection Process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Methods used to detect bias (e.g., SHAP, Disparity Impact Ratio, False Positive Rate comparisons, Grouped AUC, Fairlearn audit, etc.)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Did you audit raw data, model output, or both?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Were audits performed at the individual or group level?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d4hn5rd0k69c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4. 📉 Identified Bias Patterns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Summarize the biases your model exhibited. Aim for at least 4 clear findings. Include charts or tables if needed.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2.4610748367654"/>
        <w:gridCol w:w="1950.9794073329986"/>
        <w:gridCol w:w="1866.3586137619288"/>
        <w:gridCol w:w="1767.6343545956806"/>
        <w:gridCol w:w="2712.566549472627"/>
        <w:tblGridChange w:id="0">
          <w:tblGrid>
            <w:gridCol w:w="1062.4610748367654"/>
            <w:gridCol w:w="1950.9794073329986"/>
            <w:gridCol w:w="1866.3586137619288"/>
            <w:gridCol w:w="1767.6343545956806"/>
            <w:gridCol w:w="2712.56654947262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Bias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Affected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Evidence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qt2f6gge9qp7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5. Visual Evidence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Embed key visuals here or reference attached files. Examples: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Approval rate heatmaps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SHAP/LIME feature breakdowns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Confusion matrix by group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yshqgxncuj84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6. Real-World Implications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Who is most at risk if your model were deployed as-is?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ethical or social consequences?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Would your model pass a fairness audit in a regulated setting?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e55pxr4b5rev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7. Limitations &amp; Reflections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didn’t work?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would you try next time with more time or data?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Any lessons learned on fairness or auditing?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