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B850B6">
      <w:pPr>
        <w:spacing w:before="100" w:beforeAutospacing="1" w:after="100" w:afterAutospacing="1"/>
        <w:outlineLvl w:val="1"/>
        <w:rPr>
          <w:color w:val="000000"/>
        </w:rPr>
      </w:pPr>
      <w:r w:rsidRPr="0046135C">
        <w:rPr>
          <w:b/>
          <w:bCs/>
          <w:color w:val="000000"/>
          <w:sz w:val="36"/>
          <w:szCs w:val="36"/>
        </w:rPr>
        <w:t xml:space="preserve">TPL Hidden Engine: Fueling Community Success </w:t>
      </w:r>
    </w:p>
    <w:p w:rsidR="0046135C" w:rsidRPr="0046135C" w:rsidRDefault="00BD73F0" w:rsidP="0046135C">
      <w:r w:rsidRPr="00BD73F0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📈</w:t>
      </w:r>
      <w:r w:rsidRPr="0046135C">
        <w:rPr>
          <w:b/>
          <w:bCs/>
          <w:color w:val="000000"/>
          <w:sz w:val="27"/>
          <w:szCs w:val="27"/>
        </w:rPr>
        <w:t xml:space="preserve"> Dashboard Storyline &amp; Chart Recommendations (Analysis 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one-page dashboard will be structured into three logical, flowing sections: </w:t>
      </w:r>
      <w:r w:rsidRPr="0046135C">
        <w:rPr>
          <w:b/>
          <w:bCs/>
          <w:color w:val="000000"/>
        </w:rPr>
        <w:t>Scale, Reach &amp; Engagement,</w:t>
      </w:r>
      <w:r w:rsidRPr="0046135C">
        <w:rPr>
          <w:color w:val="000000"/>
        </w:rPr>
        <w:t> and </w:t>
      </w:r>
      <w:r w:rsidRPr="0046135C">
        <w:rPr>
          <w:b/>
          <w:bCs/>
          <w:color w:val="000000"/>
        </w:rPr>
        <w:t>Efficiency</w:t>
      </w:r>
      <w:r w:rsidRPr="0046135C">
        <w:rPr>
          <w:color w:val="000000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Establish the overall scale and the fundamental shift in how the TPL engine is operating, setting up the "Hidden Engine" narrative.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637"/>
        <w:gridCol w:w="6722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Header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KPI Cards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B531B">
              <w:t>Total </w:t>
            </w:r>
            <w:r w:rsidRPr="004B531B">
              <w:rPr>
                <w:b/>
                <w:bCs/>
              </w:rPr>
              <w:t>Annual Visits</w:t>
            </w:r>
            <w:r w:rsidRPr="004B531B">
              <w:t>, Total </w:t>
            </w:r>
            <w:r w:rsidRPr="004B531B">
              <w:rPr>
                <w:b/>
                <w:bCs/>
              </w:rPr>
              <w:t>Annual Circulation</w:t>
            </w:r>
            <w:r w:rsidRPr="004B531B">
              <w:t>, Total </w:t>
            </w:r>
            <w:r w:rsidRPr="004B531B">
              <w:rPr>
                <w:b/>
                <w:bCs/>
              </w:rPr>
              <w:t>Card Registrations</w:t>
            </w:r>
            <w:r w:rsidRPr="004B531B">
              <w:t xml:space="preserve">, </w:t>
            </w:r>
            <w:r w:rsidR="00B850B6" w:rsidRPr="004B531B">
              <w:t>longitudinal ch</w:t>
            </w:r>
            <w:r w:rsidR="002C2F1A">
              <w:t>ange (2012 vs 2023)</w:t>
            </w:r>
            <w:r w:rsidR="00B850B6" w:rsidRPr="004B531B">
              <w:t xml:space="preserve"> for each one (visit, circulation and registration</w:t>
            </w:r>
            <w:r w:rsidR="002C2F1A">
              <w:t>)</w:t>
            </w:r>
            <w:r w:rsidR="00FA53A3">
              <w:t>, YoY Changes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Story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Small Multiples Line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Circulation vs. Card Registrations Indexed to </w:t>
            </w:r>
            <w:r w:rsidRPr="0046135C">
              <w:rPr>
                <w:b/>
                <w:bCs/>
              </w:rPr>
              <w:t>100</w:t>
            </w:r>
            <w:r w:rsidRPr="0046135C">
              <w:t> (Base Year: 201</w:t>
            </w:r>
            <w:r w:rsidR="002C2F1A">
              <w:t>2</w:t>
            </w:r>
            <w:r w:rsidRPr="0046135C">
              <w:t>). </w:t>
            </w:r>
            <w:r w:rsidRPr="0046135C">
              <w:rPr>
                <w:b/>
                <w:bCs/>
              </w:rPr>
              <w:t>Insight:</w:t>
            </w:r>
            <w:r w:rsidR="000879F5">
              <w:rPr>
                <w:b/>
                <w:bCs/>
              </w:rPr>
              <w:t xml:space="preserve"> </w:t>
            </w:r>
            <w:r w:rsidRPr="0046135C">
              <w:t>Dramatically shows the </w:t>
            </w:r>
            <w:r w:rsidRPr="0046135C">
              <w:rPr>
                <w:b/>
                <w:bCs/>
              </w:rPr>
              <w:t>impact of recent events</w:t>
            </w:r>
            <w:r w:rsidRPr="0046135C">
              <w:t>. If registrations remain high while physical circulation drops, the engine retains users and service has moved digital (Persistent Engagement).</w:t>
            </w:r>
          </w:p>
        </w:tc>
      </w:tr>
      <w:tr w:rsidR="00B850B6" w:rsidRPr="0046135C" w:rsidTr="00722997"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</w:tr>
    </w:tbl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Show how the TPL engine ensures equitable community access, focusing on digital services (the often 'Hidden' part of the engine).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2789"/>
        <w:gridCol w:w="4803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Digital Equity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Choropleth Map (Toronto)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Color: </w:t>
            </w:r>
            <w:r w:rsidRPr="0046135C">
              <w:rPr>
                <w:b/>
                <w:bCs/>
              </w:rPr>
              <w:t>Digital Access Reliance Index (DARI)</w:t>
            </w:r>
            <w:r w:rsidRPr="0046135C">
              <w:t xml:space="preserve">. </w:t>
            </w:r>
          </w:p>
        </w:tc>
      </w:tr>
      <w:tr w:rsidR="002E3FE0" w:rsidRPr="0046135C" w:rsidTr="009F5159"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>
            <w:pPr>
              <w:spacing w:before="100" w:beforeAutospacing="1" w:after="100" w:afterAutospacing="1"/>
            </w:pPr>
          </w:p>
        </w:tc>
      </w:tr>
    </w:tbl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Use comparative metrics to uncover high-performing, resource-effective branches, identifying best practices for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681"/>
        <w:gridCol w:w="6096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Metric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Efficiency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Y-Axis: </w:t>
            </w:r>
            <w:r w:rsidRPr="00500632">
              <w:t xml:space="preserve">User Density </w:t>
            </w:r>
            <w:proofErr w:type="gramStart"/>
            <w:r w:rsidRPr="00500632">
              <w:t>Score</w:t>
            </w:r>
            <w:r w:rsidRPr="0046135C">
              <w:t> </w:t>
            </w:r>
            <w:r w:rsidR="002C2F1A">
              <w:t>,</w:t>
            </w:r>
            <w:proofErr w:type="gramEnd"/>
            <w:r w:rsidR="002C2F1A">
              <w:t xml:space="preserve"> </w:t>
            </w:r>
            <w:r w:rsidRPr="0046135C">
              <w:t>X-Axis: Branch Size (Sq Ft).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2C2F1A" w:rsidRDefault="0046135C" w:rsidP="0046135C">
            <w:r w:rsidRPr="002C2F1A">
              <w:lastRenderedPageBreak/>
              <w:t>Longitudinal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 Comparison</w:t>
            </w:r>
          </w:p>
        </w:tc>
        <w:tc>
          <w:tcPr>
            <w:tcW w:w="0" w:type="auto"/>
            <w:hideMark/>
          </w:tcPr>
          <w:p w:rsidR="0046135C" w:rsidRPr="00500632" w:rsidRDefault="0046135C" w:rsidP="0046135C">
            <w:r w:rsidRPr="00500632">
              <w:t>201</w:t>
            </w:r>
            <w:r w:rsidR="000879F5" w:rsidRPr="00500632">
              <w:t>2</w:t>
            </w:r>
            <w:r w:rsidRPr="00500632">
              <w:t xml:space="preserve"> User Density Score vs. 2023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Outlier Check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Top 10 Busiest Branches Bar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 Visits by Branch. Color: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Operational Excellence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The top-left quadrant of the Scatter Plot (High Density, Small Size) pinpoints </w:t>
            </w:r>
            <w:r w:rsidRPr="0046135C">
              <w:rPr>
                <w:b/>
                <w:bCs/>
              </w:rPr>
              <w:t>"Micro-Hubs"</w:t>
            </w:r>
            <w:r w:rsidRPr="0046135C">
              <w:t>—the most efficient branches. Comparing the 201</w:t>
            </w:r>
            <w:r w:rsidR="000879F5">
              <w:t>2</w:t>
            </w:r>
            <w:r w:rsidRPr="0046135C">
              <w:t xml:space="preserve"> vs. 2023 scores also identifies </w:t>
            </w:r>
            <w:r w:rsidRPr="0046135C">
              <w:rPr>
                <w:b/>
                <w:bCs/>
              </w:rPr>
              <w:t>Resilient Hubs</w:t>
            </w:r>
            <w:r w:rsidRPr="0046135C">
              <w:t> (those who maintained or improved density), providing the blueprint for optimizing the TPL Engine. </w:t>
            </w:r>
            <w:r w:rsidRPr="0046135C">
              <w:rPr>
                <w:b/>
                <w:bCs/>
              </w:rPr>
              <w:t>Custom Tooltips</w:t>
            </w:r>
            <w:r w:rsidRPr="0046135C">
              <w:t> will show the exact User Density Score ranking and a narrative summary ("High Efficiency Micro-Hub").</w:t>
            </w:r>
          </w:p>
        </w:tc>
      </w:tr>
    </w:tbl>
    <w:p w:rsidR="002E3FE0" w:rsidRDefault="002E3FE0" w:rsidP="0046135C">
      <w:pPr>
        <w:rPr>
          <w:color w:val="000000"/>
        </w:rPr>
      </w:pPr>
    </w:p>
    <w:p w:rsidR="0046135C" w:rsidRPr="0046135C" w:rsidRDefault="00BD73F0" w:rsidP="0046135C">
      <w:r w:rsidRPr="00BD73F0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894"/>
        <w:gridCol w:w="5745"/>
      </w:tblGrid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Component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Color Code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Rationale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Primary (TPL Blue)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#0069AA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Branding, Major KPIs, and Positive/Growth Metrics.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Secondary (TPL Teal)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#00A38E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Comparison metrics, contrast, and highlighting the </w:t>
            </w:r>
            <w:r w:rsidRPr="0046135C">
              <w:rPr>
                <w:b/>
                <w:bCs/>
              </w:rPr>
              <w:t>Digital</w:t>
            </w:r>
            <w:r w:rsidRPr="0046135C">
              <w:t> focus.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Neutral Palette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#F5F5F5 / White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Clean background and high text contrast for readability.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Accessibility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≥12pt Font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High-contrast (minimum 4.5:1 ratio) and readable text size across all elements.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Interactivity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Branch Selector Filter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A single multi-select filter allowing users to drill down or compare branches across all charts.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F315D2" w:rsidRDefault="00B850B6" w:rsidP="006354E3">
            <w:r w:rsidRPr="00F315D2">
              <w:t>Visual Navigation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Highlighted box/menu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persistent visual indicator</w:t>
            </w:r>
            <w:r w:rsidRPr="0046135C">
              <w:t> to show which of the three sections (Scale, Reach, Efficiency) the user is currently viewing, reinforcing the narrative flow.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F315D2" w:rsidRDefault="00B850B6" w:rsidP="006354E3">
            <w:r w:rsidRPr="00F315D2">
              <w:t>Micro-Hub Feature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Dedicated Toggle/Button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dedicated button</w:t>
            </w:r>
            <w:r w:rsidRPr="0046135C">
              <w:t> to instantly highlight the top-left quadrant ("Micro-Hubs") on the Scatter Plot and Choropleth Map.</w:t>
            </w:r>
          </w:p>
        </w:tc>
      </w:tr>
    </w:tbl>
    <w:p w:rsidR="00B850B6" w:rsidRDefault="00B850B6" w:rsidP="0046135C">
      <w:pPr>
        <w:spacing w:before="100" w:beforeAutospacing="1" w:after="100" w:afterAutospacing="1"/>
        <w:outlineLvl w:val="2"/>
        <w:rPr>
          <w:rFonts w:ascii="Apple Color Emoji" w:hAnsi="Apple Color Emoji" w:cs="Apple Color Emoji"/>
          <w:b/>
          <w:bCs/>
          <w:color w:val="000000"/>
          <w:sz w:val="27"/>
          <w:szCs w:val="27"/>
        </w:rPr>
      </w:pP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📚</w:t>
      </w:r>
      <w:r w:rsidRPr="0046135C">
        <w:rPr>
          <w:b/>
          <w:bCs/>
          <w:color w:val="000000"/>
          <w:sz w:val="27"/>
          <w:szCs w:val="27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While the clear transition away from physical-only engagement is evidenced by stable </w:t>
      </w:r>
      <w:r w:rsidRPr="0046135C">
        <w:rPr>
          <w:b/>
          <w:bCs/>
          <w:color w:val="000000"/>
        </w:rPr>
        <w:t>Card Registration</w:t>
      </w:r>
      <w:r w:rsidRPr="0046135C">
        <w:rPr>
          <w:color w:val="000000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lastRenderedPageBreak/>
        <w:t>Digital Access is Uneven: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Digital Access Reliance Index (DARI)</w:t>
      </w:r>
      <w:r w:rsidRPr="0046135C">
        <w:rPr>
          <w:color w:val="000000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Operational Excellence Varies: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User Density Score</w:t>
      </w:r>
      <w:r w:rsidRPr="0046135C">
        <w:rPr>
          <w:color w:val="000000"/>
        </w:rPr>
        <w:t> effectively identifies high-performing, high-efficiency 'Micro-Hubs'. The </w:t>
      </w:r>
      <w:r w:rsidRPr="0046135C">
        <w:rPr>
          <w:b/>
          <w:bCs/>
          <w:color w:val="000000"/>
        </w:rPr>
        <w:t>longitudinal analysis (201</w:t>
      </w:r>
      <w:r w:rsidR="000879F5">
        <w:rPr>
          <w:b/>
          <w:bCs/>
          <w:color w:val="000000"/>
        </w:rPr>
        <w:t>2</w:t>
      </w:r>
      <w:r w:rsidRPr="0046135C">
        <w:rPr>
          <w:b/>
          <w:bCs/>
          <w:color w:val="000000"/>
        </w:rPr>
        <w:t xml:space="preserve"> vs. 2023)</w:t>
      </w:r>
      <w:r w:rsidRPr="0046135C">
        <w:rPr>
          <w:color w:val="000000"/>
        </w:rPr>
        <w:t> further identifies the most </w:t>
      </w:r>
      <w:r w:rsidRPr="0046135C">
        <w:rPr>
          <w:b/>
          <w:bCs/>
          <w:color w:val="000000"/>
        </w:rPr>
        <w:t>Resilient Hubs</w:t>
      </w:r>
      <w:r w:rsidRPr="0046135C">
        <w:rPr>
          <w:color w:val="000000"/>
        </w:rPr>
        <w:t>.</w:t>
      </w:r>
    </w:p>
    <w:p w:rsidR="0046135C" w:rsidRDefault="0046135C" w:rsidP="00551485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Adopting the operational models of these branches—delivering exceptional community value from a small physical footprint—is the blueprint for </w:t>
      </w:r>
      <w:r w:rsidRPr="0046135C">
        <w:rPr>
          <w:b/>
          <w:bCs/>
          <w:color w:val="000000"/>
        </w:rPr>
        <w:t>optimizing the entire TPL Hidden Engine</w:t>
      </w:r>
      <w:r w:rsidRPr="0046135C">
        <w:rPr>
          <w:color w:val="000000"/>
        </w:rPr>
        <w:t> for future success.</w:t>
      </w:r>
    </w:p>
    <w:p w:rsidR="000879F5" w:rsidRDefault="00BD73F0" w:rsidP="000879F5">
      <w:r w:rsidRPr="00BD73F0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📈</w:t>
      </w:r>
      <w:r>
        <w:rPr>
          <w:color w:val="000000"/>
        </w:rPr>
        <w:t xml:space="preserve"> Indexed Trends (Base Year: 2015 = 100)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You will need to create two main Indexed Measures,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requiring a separate calculation to establish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2015 Base Value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Level of Detail (LOD)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expression.</w: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1. Circulation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physical circulation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6546"/>
        <w:gridCol w:w="1517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Circulation (2015 Base Value)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rd"/>
                <w:highlight w:val="yellow"/>
              </w:rPr>
              <w:t>FIXED </w:t>
            </w:r>
            <w:r w:rsidRPr="00314E0E">
              <w:rPr>
                <w:rStyle w:val="mopen"/>
                <w:highlight w:val="yellow"/>
              </w:rPr>
              <w:t>[</w:t>
            </w:r>
            <w:proofErr w:type="spellStart"/>
            <w:r w:rsidRPr="00314E0E">
              <w:rPr>
                <w:rStyle w:val="mord"/>
                <w:highlight w:val="yellow"/>
              </w:rPr>
              <w:t>BranchCode</w:t>
            </w:r>
            <w:proofErr w:type="spellEnd"/>
            <w:proofErr w:type="gramStart"/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:</w:t>
            </w:r>
            <w:r w:rsidRPr="00314E0E">
              <w:rPr>
                <w:rStyle w:val="mord"/>
                <w:highlight w:val="yellow"/>
              </w:rPr>
              <w:t>SUM</w:t>
            </w:r>
            <w:proofErr w:type="gramEnd"/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IF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Year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=</w:t>
            </w:r>
            <w:r w:rsidRPr="00314E0E">
              <w:rPr>
                <w:rStyle w:val="mord"/>
                <w:highlight w:val="yellow"/>
              </w:rPr>
              <w:t>2015 THEN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Circulation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ord"/>
                <w:highlight w:val="yellow"/>
              </w:rPr>
              <w:t> END</w:t>
            </w:r>
            <w:r w:rsidRPr="00314E0E">
              <w:rPr>
                <w:rStyle w:val="mclose"/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>Calculates and fixes the total circulation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Physical Circulation Index (Base 100)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SUM</w:t>
            </w:r>
            <w:r w:rsidRPr="00314E0E">
              <w:rPr>
                <w:rStyle w:val="mopen"/>
                <w:highlight w:val="yellow"/>
              </w:rPr>
              <w:t>([</w:t>
            </w:r>
            <w:r w:rsidRPr="00314E0E">
              <w:rPr>
                <w:rStyle w:val="mord"/>
                <w:highlight w:val="yellow"/>
              </w:rPr>
              <w:t>Circulation</w:t>
            </w:r>
            <w:r w:rsidRPr="00314E0E">
              <w:rPr>
                <w:rStyle w:val="mclose"/>
                <w:highlight w:val="yellow"/>
              </w:rPr>
              <w:t>])</w:t>
            </w:r>
            <w:proofErr w:type="gramStart"/>
            <w:r w:rsidRPr="00314E0E">
              <w:rPr>
                <w:rStyle w:val="mord"/>
                <w:highlight w:val="yellow"/>
              </w:rPr>
              <w:t>/</w:t>
            </w:r>
            <w:r w:rsidRPr="00314E0E">
              <w:rPr>
                <w:rStyle w:val="mopen"/>
                <w:highlight w:val="yellow"/>
              </w:rPr>
              <w:t>[</w:t>
            </w:r>
            <w:proofErr w:type="gramEnd"/>
            <w:r w:rsidRPr="00314E0E">
              <w:rPr>
                <w:rStyle w:val="mord"/>
                <w:highlight w:val="yellow"/>
              </w:rPr>
              <w:t>Circulation (2015 Base Value)</w:t>
            </w:r>
            <w:r w:rsidRPr="00314E0E">
              <w:rPr>
                <w:rStyle w:val="mclose"/>
                <w:highlight w:val="yellow"/>
              </w:rPr>
              <w:t>])</w:t>
            </w:r>
            <w:r w:rsidRPr="00314E0E">
              <w:rPr>
                <w:rStyle w:val="mbin"/>
                <w:highlight w:val="yellow"/>
              </w:rPr>
              <w:t>×</w:t>
            </w:r>
            <w:r w:rsidRPr="00314E0E">
              <w:rPr>
                <w:rStyle w:val="mord"/>
                <w:highlight w:val="yellow"/>
              </w:rPr>
              <w:t>100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>Divides the current year's circulation by the 2015 base value and multiplies by 100 to create the index.</w:t>
            </w:r>
            <w:r w:rsidRPr="00314E0E">
              <w:rPr>
                <w:rStyle w:val="apple-converted-space"/>
                <w:highlight w:val="yellow"/>
              </w:rPr>
              <w:t> </w:t>
            </w:r>
            <w:r w:rsidRPr="00314E0E">
              <w:rPr>
                <w:b/>
                <w:bCs/>
                <w:highlight w:val="yellow"/>
              </w:rPr>
              <w:t xml:space="preserve">Format this as a </w:t>
            </w:r>
            <w:r w:rsidRPr="00314E0E">
              <w:rPr>
                <w:b/>
                <w:bCs/>
                <w:highlight w:val="yellow"/>
              </w:rPr>
              <w:lastRenderedPageBreak/>
              <w:t>Number (0 Decimal Places).</w:t>
            </w:r>
          </w:p>
        </w:tc>
      </w:tr>
    </w:tbl>
    <w:p w:rsidR="000879F5" w:rsidRDefault="00BD73F0" w:rsidP="000879F5">
      <w:r w:rsidRPr="00BD73F0">
        <w:rPr>
          <w:noProof/>
          <w14:ligatures w14:val="standardContextual"/>
        </w:rPr>
        <w:lastRenderedPageBreak/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2. Card Registrations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new user acquisition (registrations)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085"/>
        <w:gridCol w:w="1929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Registrations (2015 Base Value)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rd"/>
                <w:highlight w:val="yellow"/>
              </w:rPr>
              <w:t>FIXED </w:t>
            </w:r>
            <w:r w:rsidRPr="00314E0E">
              <w:rPr>
                <w:rStyle w:val="mopen"/>
                <w:highlight w:val="yellow"/>
              </w:rPr>
              <w:t>[</w:t>
            </w:r>
            <w:proofErr w:type="spellStart"/>
            <w:r w:rsidRPr="00314E0E">
              <w:rPr>
                <w:rStyle w:val="mord"/>
                <w:highlight w:val="yellow"/>
              </w:rPr>
              <w:t>BranchCode</w:t>
            </w:r>
            <w:proofErr w:type="spellEnd"/>
            <w:proofErr w:type="gramStart"/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:</w:t>
            </w:r>
            <w:r w:rsidRPr="00314E0E">
              <w:rPr>
                <w:rStyle w:val="mord"/>
                <w:highlight w:val="yellow"/>
              </w:rPr>
              <w:t>SUM</w:t>
            </w:r>
            <w:proofErr w:type="gramEnd"/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IF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Year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=</w:t>
            </w:r>
            <w:r w:rsidRPr="00314E0E">
              <w:rPr>
                <w:rStyle w:val="mord"/>
                <w:highlight w:val="yellow"/>
              </w:rPr>
              <w:t>2015 THEN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Registrations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ord"/>
                <w:highlight w:val="yellow"/>
              </w:rPr>
              <w:t> END</w:t>
            </w:r>
            <w:r w:rsidRPr="00314E0E">
              <w:rPr>
                <w:rStyle w:val="mclose"/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>Calculates and fixes the total registrations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Card Registrations Index (Base 100)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SUM</w:t>
            </w:r>
            <w:r w:rsidRPr="00314E0E">
              <w:rPr>
                <w:rStyle w:val="mopen"/>
                <w:highlight w:val="yellow"/>
              </w:rPr>
              <w:t>([</w:t>
            </w:r>
            <w:r w:rsidRPr="00314E0E">
              <w:rPr>
                <w:rStyle w:val="mord"/>
                <w:highlight w:val="yellow"/>
              </w:rPr>
              <w:t>Registrations</w:t>
            </w:r>
            <w:r w:rsidRPr="00314E0E">
              <w:rPr>
                <w:rStyle w:val="mclose"/>
                <w:highlight w:val="yellow"/>
              </w:rPr>
              <w:t>])</w:t>
            </w:r>
            <w:proofErr w:type="gramStart"/>
            <w:r w:rsidRPr="00314E0E">
              <w:rPr>
                <w:rStyle w:val="mord"/>
                <w:highlight w:val="yellow"/>
              </w:rPr>
              <w:t>/</w:t>
            </w:r>
            <w:r w:rsidRPr="00314E0E">
              <w:rPr>
                <w:rStyle w:val="mopen"/>
                <w:highlight w:val="yellow"/>
              </w:rPr>
              <w:t>[</w:t>
            </w:r>
            <w:proofErr w:type="gramEnd"/>
            <w:r w:rsidRPr="00314E0E">
              <w:rPr>
                <w:rStyle w:val="mord"/>
                <w:highlight w:val="yellow"/>
              </w:rPr>
              <w:t>Registrations (2015 Base Value)</w:t>
            </w:r>
            <w:r w:rsidRPr="00314E0E">
              <w:rPr>
                <w:rStyle w:val="mclose"/>
                <w:highlight w:val="yellow"/>
              </w:rPr>
              <w:t>])</w:t>
            </w:r>
            <w:r w:rsidRPr="00314E0E">
              <w:rPr>
                <w:rStyle w:val="mbin"/>
                <w:highlight w:val="yellow"/>
              </w:rPr>
              <w:t>×</w:t>
            </w:r>
            <w:r w:rsidRPr="00314E0E">
              <w:rPr>
                <w:rStyle w:val="mord"/>
                <w:highlight w:val="yellow"/>
              </w:rPr>
              <w:t>100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 xml:space="preserve">Creates the index for new </w:t>
            </w:r>
            <w:proofErr w:type="spellStart"/>
            <w:r w:rsidRPr="00314E0E">
              <w:rPr>
                <w:highlight w:val="yellow"/>
              </w:rPr>
              <w:t>card</w:t>
            </w:r>
            <w:proofErr w:type="spellEnd"/>
            <w:r w:rsidRPr="00314E0E">
              <w:rPr>
                <w:highlight w:val="yellow"/>
              </w:rPr>
              <w:t xml:space="preserve"> registrations.</w:t>
            </w:r>
            <w:r w:rsidRPr="00314E0E">
              <w:rPr>
                <w:rStyle w:val="apple-converted-space"/>
                <w:highlight w:val="yellow"/>
              </w:rPr>
              <w:t> </w:t>
            </w:r>
            <w:r w:rsidRPr="00314E0E">
              <w:rPr>
                <w:b/>
                <w:bCs/>
                <w:highlight w:val="yellow"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BD73F0" w:rsidP="000879F5">
      <w:r w:rsidRPr="00BD73F0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color w:val="000000"/>
        </w:rPr>
        <w:t xml:space="preserve"> Final Visualization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To visualize the insight (</w:t>
      </w:r>
      <w:r>
        <w:rPr>
          <w:b/>
          <w:bCs/>
          <w:color w:val="000000"/>
        </w:rPr>
        <w:t>Persistent Engagement</w:t>
      </w:r>
      <w:r>
        <w:rPr>
          <w:color w:val="000000"/>
        </w:rPr>
        <w:t>):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Year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BranchCode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Detail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 (if analyzing individual branches).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Drag both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Physical Circulation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Card Registrations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Rows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The result will be two parallel lines for each branch.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Circulation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drops below 100 (indicating less physical activity than 2015),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but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Registrations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remains near or above 100,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trend</w:t>
      </w:r>
    </w:p>
    <w:p w:rsidR="000879F5" w:rsidRDefault="000879F5" w:rsidP="000879F5">
      <w:pPr>
        <w:spacing w:before="100" w:beforeAutospacing="1" w:after="100" w:afterAutospacing="1"/>
        <w:outlineLvl w:val="1"/>
        <w:rPr>
          <w:rFonts w:ascii="Apple Color Emoji" w:hAnsi="Apple Color Emoji" w:cs="Apple Color Emoji"/>
          <w:b/>
          <w:bCs/>
          <w:color w:val="000000"/>
          <w:sz w:val="36"/>
          <w:szCs w:val="36"/>
        </w:rPr>
      </w:pP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📊</w:t>
      </w:r>
      <w:r w:rsidRPr="000879F5">
        <w:rPr>
          <w:b/>
          <w:bCs/>
          <w:color w:val="000000"/>
          <w:sz w:val="36"/>
          <w:szCs w:val="36"/>
        </w:rPr>
        <w:t xml:space="preserve"> Longitudinal Analysis (2023 vs. 201</w:t>
      </w:r>
      <w:r w:rsidR="00B850B6">
        <w:rPr>
          <w:b/>
          <w:bCs/>
          <w:color w:val="000000"/>
          <w:sz w:val="36"/>
          <w:szCs w:val="36"/>
        </w:rPr>
        <w:t>2</w:t>
      </w:r>
      <w:r w:rsidRPr="000879F5">
        <w:rPr>
          <w:b/>
          <w:bCs/>
          <w:color w:val="000000"/>
          <w:sz w:val="36"/>
          <w:szCs w:val="36"/>
        </w:rPr>
        <w:t>) Template</w:t>
      </w:r>
    </w:p>
    <w:p w:rsidR="000879F5" w:rsidRPr="006922B9" w:rsidRDefault="000879F5" w:rsidP="000879F5">
      <w:pPr>
        <w:spacing w:before="100" w:beforeAutospacing="1" w:after="100" w:afterAutospacing="1"/>
        <w:rPr>
          <w:color w:val="000000" w:themeColor="text1"/>
          <w:highlight w:val="yellow"/>
        </w:rPr>
      </w:pPr>
      <w:r w:rsidRPr="006922B9">
        <w:rPr>
          <w:color w:val="000000" w:themeColor="text1"/>
          <w:highlight w:val="yellow"/>
        </w:rPr>
        <w:lastRenderedPageBreak/>
        <w:t>This set of calculations can be applied to any of the annual metrics (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Visits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Circulation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Registrations</w:t>
      </w:r>
      <w:r w:rsidRPr="006922B9">
        <w:rPr>
          <w:color w:val="000000" w:themeColor="text1"/>
          <w:highlight w:val="yellow"/>
        </w:rPr>
        <w:t>) to perform the required 2019 vs. 2023 comparison. You only need to replace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[Measure]</w:t>
      </w:r>
      <w:r w:rsidRPr="006922B9">
        <w:rPr>
          <w:color w:val="000000" w:themeColor="text1"/>
          <w:highlight w:val="yellow"/>
        </w:rPr>
        <w:t> with the corresponding field name (e.g.,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[Visits]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[Circulation]</w:t>
      </w:r>
      <w:r w:rsidRPr="006922B9">
        <w:rPr>
          <w:color w:val="000000" w:themeColor="text1"/>
          <w:highlight w:val="yellow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6922B9" w:rsidRPr="006922B9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Purpose</w:t>
            </w:r>
          </w:p>
        </w:tc>
      </w:tr>
      <w:tr w:rsidR="006922B9" w:rsidRPr="006922B9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proofErr w:type="gramStart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SUM(</w:t>
            </w:r>
            <w:proofErr w:type="gramEnd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Isolates the total Visits for the latest year (2023).</w:t>
            </w:r>
          </w:p>
        </w:tc>
      </w:tr>
      <w:tr w:rsidR="006922B9" w:rsidRPr="006922B9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proofErr w:type="gramStart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SUM(</w:t>
            </w:r>
            <w:proofErr w:type="gramEnd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Isolates the total Visits for the baseline year (2019).</w:t>
            </w:r>
          </w:p>
        </w:tc>
      </w:tr>
      <w:tr w:rsidR="006922B9" w:rsidRPr="006922B9" w:rsidTr="006922B9">
        <w:trPr>
          <w:trHeight w:val="54"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</w:rPr>
            </w:pPr>
            <w:r w:rsidRPr="006922B9">
              <w:rPr>
                <w:color w:val="000000" w:themeColor="text1"/>
                <w:highlight w:val="yellow"/>
              </w:rPr>
              <w:t>Calculates the percentage change. </w:t>
            </w:r>
            <w:r w:rsidRPr="006922B9">
              <w:rPr>
                <w:b/>
                <w:bCs/>
                <w:color w:val="000000" w:themeColor="text1"/>
                <w:highlight w:val="yellow"/>
              </w:rPr>
              <w:t>Format this as a Percentage.</w:t>
            </w:r>
          </w:p>
        </w:tc>
      </w:tr>
    </w:tbl>
    <w:p w:rsidR="000879F5" w:rsidRPr="000879F5" w:rsidRDefault="00BD73F0" w:rsidP="000879F5">
      <w:r w:rsidRPr="00BD73F0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📈</w:t>
      </w:r>
      <w:r w:rsidRPr="000879F5">
        <w:rPr>
          <w:b/>
          <w:bCs/>
          <w:color w:val="000000"/>
          <w:sz w:val="36"/>
          <w:szCs w:val="36"/>
        </w:rPr>
        <w:t xml:space="preserve"> TPL Hidden Engine Core Metric Formulas</w: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1. User Density Score (Longitudinal)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User Density Score (UDS)</w:t>
      </w:r>
      <w:r w:rsidRPr="000879F5">
        <w:rPr>
          <w:color w:val="000000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requires fields from the annual activity files and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Branch General Information</w:t>
      </w:r>
      <w:r w:rsidRPr="000879F5">
        <w:rPr>
          <w:color w:val="000000"/>
        </w:rPr>
        <w:t> file (</w:t>
      </w:r>
      <w:proofErr w:type="spellStart"/>
      <w:r w:rsidRPr="000879F5">
        <w:rPr>
          <w:rFonts w:ascii="Courier New" w:hAnsi="Courier New" w:cs="Courier New"/>
          <w:color w:val="000000"/>
          <w:sz w:val="20"/>
          <w:szCs w:val="20"/>
        </w:rPr>
        <w:t>SquareFootage</w:t>
      </w:r>
      <w:proofErr w:type="spellEnd"/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Combines all major activity metrics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UDS 2023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[Total Activity 2023] / AVG([</w:t>
            </w:r>
            <w:proofErr w:type="spell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SquareFootage</w:t>
            </w:r>
            <w:proofErr w:type="spell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UDS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UDS 2019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[Total Activity 2019] / AVG([</w:t>
            </w:r>
            <w:proofErr w:type="spell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SquareFootage</w:t>
            </w:r>
            <w:proofErr w:type="spell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UDS for 2019 (using the respective 2019 Total Activity formula).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Identifies </w:t>
            </w:r>
            <w:r w:rsidRPr="008B38FB">
              <w:rPr>
                <w:b/>
                <w:bCs/>
                <w:highlight w:val="yellow"/>
              </w:rPr>
              <w:t>Resilient Hubs</w:t>
            </w:r>
            <w:r w:rsidRPr="008B38FB">
              <w:rPr>
                <w:highlight w:val="yellow"/>
              </w:rPr>
              <w:t> by showing the branch's efficiency growth. </w:t>
            </w:r>
            <w:r w:rsidRPr="008B38FB">
              <w:rPr>
                <w:b/>
                <w:bCs/>
                <w:highlight w:val="yellow"/>
              </w:rPr>
              <w:t>Format as a Percentage.</w:t>
            </w:r>
          </w:p>
        </w:tc>
      </w:tr>
    </w:tbl>
    <w:p w:rsidR="000879F5" w:rsidRPr="000879F5" w:rsidRDefault="00BD73F0" w:rsidP="000879F5">
      <w:r w:rsidRPr="00BD73F0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2. Digital Access Reliance Index (DARI)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lastRenderedPageBreak/>
        <w:t>The </w:t>
      </w:r>
      <w:r w:rsidRPr="000879F5">
        <w:rPr>
          <w:b/>
          <w:bCs/>
          <w:color w:val="000000"/>
        </w:rPr>
        <w:t>Digital Access Reliance Index (DARI)</w:t>
      </w:r>
      <w:r w:rsidRPr="000879F5">
        <w:rPr>
          <w:color w:val="000000"/>
        </w:rPr>
        <w:t> is a proxy for how reliant the community is on the branch's digital resources (Workstations), calculated as the ratio of Workstation Sessions to Physical Visits. High DARI values would flag a </w:t>
      </w:r>
      <w:r w:rsidRPr="000879F5">
        <w:rPr>
          <w:b/>
          <w:bCs/>
          <w:color w:val="000000"/>
        </w:rPr>
        <w:t>Digital Divide Hub</w:t>
      </w:r>
      <w:r w:rsidRPr="000879F5">
        <w:rPr>
          <w:color w:val="000000"/>
        </w:rPr>
        <w:t>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tpl-workstation-usage-annual-by.csv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Sessions</w:t>
      </w:r>
      <w:r w:rsidRPr="000879F5">
        <w:rPr>
          <w:color w:val="000000"/>
        </w:rPr>
        <w:t>) and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tpl-visits-annual-by-branch.csv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proofErr w:type="gram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SUM(</w:t>
            </w:r>
            <w:proofErr w:type="gram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proportion of total traffic that is dedicated to using a workstation.</w:t>
            </w:r>
          </w:p>
        </w:tc>
      </w:tr>
    </w:tbl>
    <w:p w:rsidR="000879F5" w:rsidRPr="000879F5" w:rsidRDefault="00BD73F0" w:rsidP="000879F5">
      <w:r w:rsidRPr="00BD73F0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Summary of Tableau YoY Calculation</w:t>
      </w:r>
    </w:p>
    <w:p w:rsidR="00B850B6" w:rsidRPr="004B531B" w:rsidRDefault="00B850B6" w:rsidP="00B850B6">
      <w:pPr>
        <w:pStyle w:val="NormalWeb"/>
        <w:rPr>
          <w:color w:val="000000"/>
          <w:highlight w:val="yellow"/>
        </w:rPr>
      </w:pPr>
      <w:r w:rsidRPr="004B531B">
        <w:rPr>
          <w:color w:val="000000"/>
          <w:highlight w:val="yellow"/>
        </w:rPr>
        <w:t>The Year-over-Year (YoY) Growth calculation in Tableau is achieved using the</w:t>
      </w:r>
      <w:r w:rsidRPr="004B531B">
        <w:rPr>
          <w:rStyle w:val="apple-converted-space"/>
          <w:color w:val="000000"/>
          <w:highlight w:val="yellow"/>
        </w:rPr>
        <w:t> </w:t>
      </w:r>
      <w:r w:rsidRPr="004B531B">
        <w:rPr>
          <w:rStyle w:val="HTMLCode"/>
          <w:b/>
          <w:bCs/>
          <w:color w:val="000000"/>
          <w:highlight w:val="yellow"/>
        </w:rPr>
        <w:t>LOOKUP</w:t>
      </w:r>
      <w:r w:rsidRPr="004B531B">
        <w:rPr>
          <w:rStyle w:val="apple-converted-space"/>
          <w:color w:val="000000"/>
          <w:highlight w:val="yellow"/>
        </w:rPr>
        <w:t> </w:t>
      </w:r>
      <w:r w:rsidRPr="004B531B">
        <w:rPr>
          <w:color w:val="000000"/>
          <w:highlight w:val="yellow"/>
        </w:rPr>
        <w:t>function, which is a powerful table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270"/>
        <w:gridCol w:w="4304"/>
      </w:tblGrid>
      <w:tr w:rsidR="00B850B6" w:rsidRPr="004B531B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Tableau Formula Example (Visits)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1. Previous Year Value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Find the measure value in the previous year's row.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LOOKUP(SUM([Visits]), -1)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2. YoY Change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Calculate the absolute difference.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SUM([Visits]) - LOOKUP(SUM([Visits]), -1)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3. YoY Growth %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Calculate the percentage growth (or decline).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(SUM([Visits]) - LOOKUP(SUM([Visits]), -1)) /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4. Configuration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 w:rsidRPr="004B531B">
              <w:rPr>
                <w:highlight w:val="yellow"/>
              </w:rPr>
              <w:t>Set the calculated field to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b/>
                <w:bCs/>
                <w:highlight w:val="yellow"/>
              </w:rPr>
              <w:t>"Compute Using"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highlight w:val="yellow"/>
              </w:rPr>
              <w:t>the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rStyle w:val="HTMLCode"/>
                <w:b/>
                <w:bCs/>
                <w:highlight w:val="yellow"/>
              </w:rPr>
              <w:t>Year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highlight w:val="yellow"/>
              </w:rPr>
              <w:t>field.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</w:tbl>
    <w:p w:rsidR="00B850B6" w:rsidRDefault="00BD73F0" w:rsidP="00B850B6">
      <w:r w:rsidRPr="00BD73F0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850B6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58D9"/>
    <w:multiLevelType w:val="multilevel"/>
    <w:tmpl w:val="75B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9413">
    <w:abstractNumId w:val="0"/>
  </w:num>
  <w:num w:numId="2" w16cid:durableId="21208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0879F5"/>
    <w:rsid w:val="00165587"/>
    <w:rsid w:val="002C2F1A"/>
    <w:rsid w:val="002E3FE0"/>
    <w:rsid w:val="003076DB"/>
    <w:rsid w:val="00314E0E"/>
    <w:rsid w:val="0046135C"/>
    <w:rsid w:val="004731F5"/>
    <w:rsid w:val="004B531B"/>
    <w:rsid w:val="00500632"/>
    <w:rsid w:val="00551485"/>
    <w:rsid w:val="006922B9"/>
    <w:rsid w:val="008B38FB"/>
    <w:rsid w:val="009A4CA5"/>
    <w:rsid w:val="00A72234"/>
    <w:rsid w:val="00A941F8"/>
    <w:rsid w:val="00AC207E"/>
    <w:rsid w:val="00AD378D"/>
    <w:rsid w:val="00AF0A19"/>
    <w:rsid w:val="00B20D9A"/>
    <w:rsid w:val="00B850B6"/>
    <w:rsid w:val="00BA6CAF"/>
    <w:rsid w:val="00BD73F0"/>
    <w:rsid w:val="00C677DE"/>
    <w:rsid w:val="00D57403"/>
    <w:rsid w:val="00D6200E"/>
    <w:rsid w:val="00DA7E85"/>
    <w:rsid w:val="00DF0D48"/>
    <w:rsid w:val="00DF25F2"/>
    <w:rsid w:val="00EC4A95"/>
    <w:rsid w:val="00F315D2"/>
    <w:rsid w:val="00F63A6A"/>
    <w:rsid w:val="00F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2077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9F5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879F5"/>
  </w:style>
  <w:style w:type="character" w:customStyle="1" w:styleId="mclose">
    <w:name w:val="mclose"/>
    <w:basedOn w:val="DefaultParagraphFont"/>
    <w:rsid w:val="0008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13</cp:revision>
  <dcterms:created xsi:type="dcterms:W3CDTF">2025-10-27T17:42:00Z</dcterms:created>
  <dcterms:modified xsi:type="dcterms:W3CDTF">2025-10-30T23:26:00Z</dcterms:modified>
</cp:coreProperties>
</file>