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35C" w:rsidRPr="0046135C" w:rsidRDefault="0046135C" w:rsidP="00B850B6">
      <w:pPr>
        <w:spacing w:before="100" w:beforeAutospacing="1" w:after="100" w:afterAutospacing="1"/>
        <w:outlineLvl w:val="1"/>
        <w:rPr>
          <w:color w:val="000000"/>
        </w:rPr>
      </w:pPr>
      <w:r w:rsidRPr="0046135C">
        <w:rPr>
          <w:b/>
          <w:bCs/>
          <w:color w:val="000000"/>
          <w:sz w:val="36"/>
          <w:szCs w:val="36"/>
        </w:rPr>
        <w:t xml:space="preserve">TPL Hidden Engine: Fueling Community Success </w:t>
      </w:r>
    </w:p>
    <w:p w:rsidR="0046135C" w:rsidRPr="0046135C" w:rsidRDefault="00A72234" w:rsidP="0046135C">
      <w:r w:rsidRPr="00A72234">
        <w:rPr>
          <w:noProof/>
          <w14:ligatures w14:val="standardContextual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📈</w:t>
      </w:r>
      <w:r w:rsidRPr="0046135C">
        <w:rPr>
          <w:b/>
          <w:bCs/>
          <w:color w:val="000000"/>
          <w:sz w:val="27"/>
          <w:szCs w:val="27"/>
        </w:rPr>
        <w:t xml:space="preserve"> Dashboard Storyline &amp; Chart Recommendations (Analysis Upgraded </w:t>
      </w:r>
      <w:proofErr w:type="gramStart"/>
      <w:r w:rsidRPr="0046135C">
        <w:rPr>
          <w:b/>
          <w:bCs/>
          <w:color w:val="000000"/>
          <w:sz w:val="27"/>
          <w:szCs w:val="27"/>
        </w:rPr>
        <w:t>to</w:t>
      </w:r>
      <w:proofErr w:type="gramEnd"/>
      <w:r w:rsidRPr="0046135C">
        <w:rPr>
          <w:b/>
          <w:bCs/>
          <w:color w:val="000000"/>
          <w:sz w:val="27"/>
          <w:szCs w:val="27"/>
        </w:rPr>
        <w:t> Excellent)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The one-page dashboard will be structured into three logical, flowing sections: </w:t>
      </w:r>
      <w:r w:rsidRPr="0046135C">
        <w:rPr>
          <w:b/>
          <w:bCs/>
          <w:color w:val="000000"/>
        </w:rPr>
        <w:t>Scale, Reach &amp; Engagement,</w:t>
      </w:r>
      <w:r w:rsidRPr="0046135C">
        <w:rPr>
          <w:color w:val="000000"/>
        </w:rPr>
        <w:t> and </w:t>
      </w:r>
      <w:r w:rsidRPr="0046135C">
        <w:rPr>
          <w:b/>
          <w:bCs/>
          <w:color w:val="000000"/>
        </w:rPr>
        <w:t>Efficiency</w:t>
      </w:r>
      <w:r w:rsidRPr="0046135C">
        <w:rPr>
          <w:color w:val="000000"/>
        </w:rPr>
        <w:t>.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1. The Engine’s Scale &amp; Shift: Is TPL Still Essential?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Establish the overall scale and the fundamental shift in how the TPL engine is operating, setting up the "Hidden Engine" narrative.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637"/>
        <w:gridCol w:w="6722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Header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KPI Cards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B531B">
              <w:t>Total </w:t>
            </w:r>
            <w:r w:rsidRPr="004B531B">
              <w:rPr>
                <w:b/>
                <w:bCs/>
              </w:rPr>
              <w:t>Annual Visits</w:t>
            </w:r>
            <w:r w:rsidRPr="004B531B">
              <w:t>, Total </w:t>
            </w:r>
            <w:r w:rsidRPr="004B531B">
              <w:rPr>
                <w:b/>
                <w:bCs/>
              </w:rPr>
              <w:t>Annual Circulation</w:t>
            </w:r>
            <w:r w:rsidRPr="004B531B">
              <w:t>, Total </w:t>
            </w:r>
            <w:r w:rsidRPr="004B531B">
              <w:rPr>
                <w:b/>
                <w:bCs/>
              </w:rPr>
              <w:t>Card Registrations</w:t>
            </w:r>
            <w:r w:rsidRPr="004B531B">
              <w:t>, with </w:t>
            </w:r>
            <w:r w:rsidRPr="004B531B">
              <w:rPr>
                <w:b/>
                <w:bCs/>
              </w:rPr>
              <w:t xml:space="preserve">YOY </w:t>
            </w:r>
            <w:proofErr w:type="gramStart"/>
            <w:r w:rsidRPr="004B531B">
              <w:rPr>
                <w:b/>
                <w:bCs/>
              </w:rPr>
              <w:t>Change</w:t>
            </w:r>
            <w:r w:rsidRPr="004B531B">
              <w:t>(</w:t>
            </w:r>
            <w:proofErr w:type="gramEnd"/>
            <w:r w:rsidRPr="004B531B">
              <w:t>201</w:t>
            </w:r>
            <w:r w:rsidR="000879F5" w:rsidRPr="004B531B">
              <w:t>2</w:t>
            </w:r>
            <w:r w:rsidRPr="004B531B">
              <w:t xml:space="preserve"> vs. 202</w:t>
            </w:r>
            <w:r w:rsidR="000879F5" w:rsidRPr="004B531B">
              <w:t>4</w:t>
            </w:r>
            <w:r w:rsidRPr="004B531B">
              <w:t>).</w:t>
            </w:r>
            <w:r w:rsidR="00B850B6" w:rsidRPr="004B531B">
              <w:t xml:space="preserve"> Also add longitudinal check for each one (visit, circulation and registration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Story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Small Multiples Line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Circulation vs. Card Registrations Indexed to </w:t>
            </w:r>
            <w:r w:rsidRPr="0046135C">
              <w:rPr>
                <w:b/>
                <w:bCs/>
              </w:rPr>
              <w:t>100</w:t>
            </w:r>
            <w:r w:rsidRPr="0046135C">
              <w:t> (Base Year: 2015). </w:t>
            </w:r>
            <w:r w:rsidRPr="0046135C">
              <w:rPr>
                <w:b/>
                <w:bCs/>
              </w:rPr>
              <w:t>Insight:</w:t>
            </w:r>
            <w:r w:rsidR="000879F5">
              <w:rPr>
                <w:b/>
                <w:bCs/>
              </w:rPr>
              <w:t xml:space="preserve"> </w:t>
            </w:r>
            <w:r w:rsidRPr="0046135C">
              <w:t>Dramatically shows the </w:t>
            </w:r>
            <w:r w:rsidRPr="0046135C">
              <w:rPr>
                <w:b/>
                <w:bCs/>
              </w:rPr>
              <w:t>impact of recent events</w:t>
            </w:r>
            <w:r w:rsidRPr="0046135C">
              <w:t>. If registrations remain high while physical circulation drops, the engine retains users and service has moved digital (Persistent Engagement).</w:t>
            </w:r>
          </w:p>
        </w:tc>
      </w:tr>
      <w:tr w:rsidR="00B850B6" w:rsidRPr="0046135C" w:rsidTr="00722997"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  <w:tc>
          <w:tcPr>
            <w:tcW w:w="0" w:type="auto"/>
          </w:tcPr>
          <w:p w:rsidR="00B850B6" w:rsidRPr="00EC4A95" w:rsidRDefault="00B850B6" w:rsidP="0046135C">
            <w:pPr>
              <w:rPr>
                <w:color w:val="FF0000"/>
              </w:rPr>
            </w:pPr>
          </w:p>
        </w:tc>
      </w:tr>
    </w:tbl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2. Engine Reach &amp; Digital Access: Fueling Equity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Show how the TPL engine ensures equitable community access, focusing on digital services (the often 'Hidden' part of the engine).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688"/>
        <w:gridCol w:w="6604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 &amp; Rationale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Digital Equity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Choropleth Map (Toronto)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Color: </w:t>
            </w:r>
            <w:r w:rsidRPr="0046135C">
              <w:rPr>
                <w:b/>
                <w:bCs/>
              </w:rPr>
              <w:t>Digital Access Reliance Index (DARI)</w:t>
            </w:r>
            <w:r w:rsidRPr="0046135C">
              <w:t>. DARI =Annual </w:t>
            </w:r>
            <w:proofErr w:type="spellStart"/>
            <w:r w:rsidRPr="0046135C">
              <w:t>VisitsAnnual</w:t>
            </w:r>
            <w:proofErr w:type="spellEnd"/>
            <w:r w:rsidRPr="0046135C">
              <w:t> Workstation Usage​×Workstation Usage.</w:t>
            </w:r>
          </w:p>
        </w:tc>
      </w:tr>
      <w:tr w:rsidR="002E3FE0" w:rsidRPr="0046135C" w:rsidTr="009F5159"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/>
        </w:tc>
        <w:tc>
          <w:tcPr>
            <w:tcW w:w="0" w:type="auto"/>
          </w:tcPr>
          <w:p w:rsidR="002E3FE0" w:rsidRPr="0046135C" w:rsidRDefault="002E3FE0" w:rsidP="0046135C">
            <w:pPr>
              <w:spacing w:before="100" w:beforeAutospacing="1" w:after="100" w:afterAutospacing="1"/>
            </w:pPr>
          </w:p>
        </w:tc>
      </w:tr>
    </w:tbl>
    <w:p w:rsidR="0046135C" w:rsidRPr="0046135C" w:rsidRDefault="0046135C" w:rsidP="0046135C">
      <w:pPr>
        <w:rPr>
          <w:color w:val="000000"/>
        </w:rPr>
      </w:pPr>
      <w:r w:rsidRPr="0046135C">
        <w:rPr>
          <w:color w:val="000000"/>
        </w:rPr>
        <w:t>Export to Sheets</w:t>
      </w:r>
    </w:p>
    <w:p w:rsidR="0046135C" w:rsidRPr="0046135C" w:rsidRDefault="0046135C" w:rsidP="0046135C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46135C">
        <w:rPr>
          <w:b/>
          <w:bCs/>
          <w:color w:val="000000"/>
        </w:rPr>
        <w:t>3. Engine Efficiency: Uncovering Micro-Hubs (Actionable Analysis)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Goal:</w:t>
      </w:r>
      <w:r w:rsidRPr="0046135C">
        <w:rPr>
          <w:color w:val="000000"/>
        </w:rPr>
        <w:t> Use comparative metrics to uncover high-performing, resource-effective branches, identifying best practices for optimization.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527"/>
        <w:gridCol w:w="6179"/>
      </w:tblGrid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lastRenderedPageBreak/>
              <w:t>Chart Type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Data &amp; Calculation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Metric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Core Efficiency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Y-Axis: </w:t>
            </w:r>
            <w:r w:rsidRPr="0046135C">
              <w:rPr>
                <w:b/>
                <w:bCs/>
              </w:rPr>
              <w:t>User Density Score</w:t>
            </w:r>
            <w:r w:rsidRPr="0046135C">
              <w:t> (Branch Square </w:t>
            </w:r>
            <w:proofErr w:type="spellStart"/>
            <w:r w:rsidRPr="0046135C">
              <w:t>FootageAnnual</w:t>
            </w:r>
            <w:proofErr w:type="spellEnd"/>
            <w:r w:rsidRPr="0046135C">
              <w:t> Visits​). X-Axis: Branch Size (Sq Ft).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New: Longitudinal Analysis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Scatter Plot Comparison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rPr>
                <w:b/>
                <w:bCs/>
              </w:rPr>
              <w:t>201</w:t>
            </w:r>
            <w:r w:rsidR="000879F5">
              <w:rPr>
                <w:b/>
                <w:bCs/>
              </w:rPr>
              <w:t>2</w:t>
            </w:r>
            <w:r w:rsidRPr="0046135C">
              <w:rPr>
                <w:b/>
                <w:bCs/>
              </w:rPr>
              <w:t xml:space="preserve"> User Density Score</w:t>
            </w:r>
            <w:r w:rsidRPr="0046135C">
              <w:t> vs. </w:t>
            </w:r>
            <w:r w:rsidRPr="0046135C">
              <w:rPr>
                <w:b/>
                <w:bCs/>
              </w:rPr>
              <w:t>2023 User Density Score</w:t>
            </w:r>
            <w:r w:rsidRPr="0046135C">
              <w:t>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Outlier Check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Top 10 Busiest Branches Bar Chart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Total Visits by Branch. Color: User Density Score.</w:t>
            </w:r>
          </w:p>
        </w:tc>
      </w:tr>
      <w:tr w:rsidR="0046135C" w:rsidRPr="0046135C" w:rsidTr="00551485"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Insight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r w:rsidRPr="0046135C">
              <w:t>Operational Excellence</w:t>
            </w:r>
          </w:p>
        </w:tc>
        <w:tc>
          <w:tcPr>
            <w:tcW w:w="0" w:type="auto"/>
            <w:hideMark/>
          </w:tcPr>
          <w:p w:rsidR="0046135C" w:rsidRPr="0046135C" w:rsidRDefault="0046135C" w:rsidP="0046135C">
            <w:pPr>
              <w:spacing w:before="100" w:beforeAutospacing="1" w:after="100" w:afterAutospacing="1"/>
            </w:pPr>
            <w:r w:rsidRPr="0046135C">
              <w:t>The top-left quadrant of the Scatter Plot (High Density, Small Size) pinpoints </w:t>
            </w:r>
            <w:r w:rsidRPr="0046135C">
              <w:rPr>
                <w:b/>
                <w:bCs/>
              </w:rPr>
              <w:t>"Micro-Hubs"</w:t>
            </w:r>
            <w:r w:rsidRPr="0046135C">
              <w:t>—the most efficient branches. Comparing the 201</w:t>
            </w:r>
            <w:r w:rsidR="000879F5">
              <w:t>2</w:t>
            </w:r>
            <w:r w:rsidRPr="0046135C">
              <w:t xml:space="preserve"> vs. 2023 scores also identifies </w:t>
            </w:r>
            <w:r w:rsidRPr="0046135C">
              <w:rPr>
                <w:b/>
                <w:bCs/>
              </w:rPr>
              <w:t>Resilient Hubs</w:t>
            </w:r>
            <w:r w:rsidRPr="0046135C">
              <w:t> (those who maintained or improved density), providing the blueprint for optimizing the TPL Engine. </w:t>
            </w:r>
            <w:r w:rsidRPr="0046135C">
              <w:rPr>
                <w:b/>
                <w:bCs/>
              </w:rPr>
              <w:t>Custom Tooltips</w:t>
            </w:r>
            <w:r w:rsidRPr="0046135C">
              <w:t> will show the exact User Density Score ranking and a narrative summary ("High Efficiency Micro-Hub").</w:t>
            </w:r>
          </w:p>
        </w:tc>
      </w:tr>
    </w:tbl>
    <w:p w:rsidR="002E3FE0" w:rsidRDefault="002E3FE0" w:rsidP="0046135C">
      <w:pPr>
        <w:rPr>
          <w:color w:val="000000"/>
        </w:rPr>
      </w:pPr>
    </w:p>
    <w:p w:rsidR="0046135C" w:rsidRPr="0046135C" w:rsidRDefault="00A72234" w:rsidP="0046135C">
      <w:r w:rsidRPr="00A72234">
        <w:rPr>
          <w:noProof/>
          <w14:ligatures w14:val="standardContextual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86"/>
        <w:gridCol w:w="5639"/>
      </w:tblGrid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Component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Color Code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Rationale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Primary (TPL Blue)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#0069AA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Branding, Major KPIs, and Positive/Growth Metrics.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Secondary (TPL Teal)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#00A38E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Comparison metrics, contrast, and highlighting the </w:t>
            </w:r>
            <w:r w:rsidRPr="0046135C">
              <w:rPr>
                <w:b/>
                <w:bCs/>
              </w:rPr>
              <w:t>Digital</w:t>
            </w:r>
            <w:r w:rsidRPr="0046135C">
              <w:t> focus.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Neutral Palette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#F5F5F5 / White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Clean background and high text contrast for readability.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Accessibility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≥12pt Font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High-contrast (minimum 4.5:1 ratio) and readable text size across all elements.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Interactivity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Branch Selector Filter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pPr>
              <w:spacing w:before="100" w:beforeAutospacing="1" w:after="100" w:afterAutospacing="1"/>
            </w:pPr>
            <w:r w:rsidRPr="0046135C">
              <w:t>A single multi-select filter allowing users to drill down or compare branches across all charts.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New: Visual Navigation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Highlighted box/menu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persistent visual indicator</w:t>
            </w:r>
            <w:r w:rsidRPr="0046135C">
              <w:t> to show which of the three sections (Scale, Reach, Efficiency) the user is currently viewing, reinforcing the narrative flow.</w:t>
            </w:r>
          </w:p>
        </w:tc>
      </w:tr>
      <w:tr w:rsidR="00B850B6" w:rsidRPr="0046135C" w:rsidTr="006354E3"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New: Micro-Hub Feature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t>Dedicated Toggle/Button</w:t>
            </w:r>
          </w:p>
        </w:tc>
        <w:tc>
          <w:tcPr>
            <w:tcW w:w="0" w:type="auto"/>
            <w:hideMark/>
          </w:tcPr>
          <w:p w:rsidR="00B850B6" w:rsidRPr="0046135C" w:rsidRDefault="00B850B6" w:rsidP="006354E3">
            <w:r w:rsidRPr="0046135C">
              <w:rPr>
                <w:b/>
                <w:bCs/>
              </w:rPr>
              <w:t>A dedicated button</w:t>
            </w:r>
            <w:r w:rsidRPr="0046135C">
              <w:t> to instantly highlight the top-left quadrant ("Micro-Hubs") on the Scatter Plot and Choropleth Map.</w:t>
            </w:r>
          </w:p>
        </w:tc>
      </w:tr>
    </w:tbl>
    <w:p w:rsidR="00B850B6" w:rsidRDefault="00B850B6" w:rsidP="0046135C">
      <w:pPr>
        <w:spacing w:before="100" w:beforeAutospacing="1" w:after="100" w:afterAutospacing="1"/>
        <w:outlineLvl w:val="2"/>
        <w:rPr>
          <w:rFonts w:ascii="Apple Color Emoji" w:hAnsi="Apple Color Emoji" w:cs="Apple Color Emoji"/>
          <w:b/>
          <w:bCs/>
          <w:color w:val="000000"/>
          <w:sz w:val="27"/>
          <w:szCs w:val="27"/>
        </w:rPr>
      </w:pPr>
    </w:p>
    <w:p w:rsidR="0046135C" w:rsidRPr="0046135C" w:rsidRDefault="0046135C" w:rsidP="0046135C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46135C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📚</w:t>
      </w:r>
      <w:r w:rsidRPr="0046135C">
        <w:rPr>
          <w:b/>
          <w:bCs/>
          <w:color w:val="000000"/>
          <w:sz w:val="27"/>
          <w:szCs w:val="27"/>
        </w:rPr>
        <w:t xml:space="preserve"> Executive Summary: The Hidden Engine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TPL: An Engine Optimized for Access and Efficiency. The TPL data confirms its status as a resilient, essential community engine.</w:t>
      </w:r>
    </w:p>
    <w:p w:rsidR="0046135C" w:rsidRPr="0046135C" w:rsidRDefault="0046135C" w:rsidP="0046135C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lastRenderedPageBreak/>
        <w:t>While the clear transition away from physical-only engagement is evidenced by stable </w:t>
      </w:r>
      <w:r w:rsidRPr="0046135C">
        <w:rPr>
          <w:b/>
          <w:bCs/>
          <w:color w:val="000000"/>
        </w:rPr>
        <w:t>Card Registration</w:t>
      </w:r>
      <w:r w:rsidRPr="0046135C">
        <w:rPr>
          <w:color w:val="000000"/>
        </w:rPr>
        <w:t> numbers despite circulation shifts, the analysis provides two critical, actionable findings: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Digital Access is Uneven: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Digital Access Reliance Index (DARI)</w:t>
      </w:r>
      <w:r w:rsidRPr="0046135C">
        <w:rPr>
          <w:color w:val="000000"/>
        </w:rPr>
        <w:t> highlights specific branches that are critical in bridging the digital divide, warranting targeted resource support.</w:t>
      </w:r>
    </w:p>
    <w:p w:rsidR="0046135C" w:rsidRPr="0046135C" w:rsidRDefault="0046135C" w:rsidP="0046135C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46135C">
        <w:rPr>
          <w:b/>
          <w:bCs/>
          <w:color w:val="000000"/>
        </w:rPr>
        <w:t>Operational Excellence Varies:</w:t>
      </w:r>
      <w:r w:rsidRPr="0046135C">
        <w:rPr>
          <w:color w:val="000000"/>
        </w:rPr>
        <w:t> The </w:t>
      </w:r>
      <w:r w:rsidRPr="0046135C">
        <w:rPr>
          <w:b/>
          <w:bCs/>
          <w:color w:val="000000"/>
        </w:rPr>
        <w:t>User Density Score</w:t>
      </w:r>
      <w:r w:rsidRPr="0046135C">
        <w:rPr>
          <w:color w:val="000000"/>
        </w:rPr>
        <w:t> effectively identifies high-performing, high-efficiency 'Micro-Hubs'. The </w:t>
      </w:r>
      <w:r w:rsidRPr="0046135C">
        <w:rPr>
          <w:b/>
          <w:bCs/>
          <w:color w:val="000000"/>
        </w:rPr>
        <w:t>longitudinal analysis (201</w:t>
      </w:r>
      <w:r w:rsidR="000879F5">
        <w:rPr>
          <w:b/>
          <w:bCs/>
          <w:color w:val="000000"/>
        </w:rPr>
        <w:t>2</w:t>
      </w:r>
      <w:r w:rsidRPr="0046135C">
        <w:rPr>
          <w:b/>
          <w:bCs/>
          <w:color w:val="000000"/>
        </w:rPr>
        <w:t xml:space="preserve"> vs. 2023)</w:t>
      </w:r>
      <w:r w:rsidRPr="0046135C">
        <w:rPr>
          <w:color w:val="000000"/>
        </w:rPr>
        <w:t> further identifies the most </w:t>
      </w:r>
      <w:r w:rsidRPr="0046135C">
        <w:rPr>
          <w:b/>
          <w:bCs/>
          <w:color w:val="000000"/>
        </w:rPr>
        <w:t>Resilient Hubs</w:t>
      </w:r>
      <w:r w:rsidRPr="0046135C">
        <w:rPr>
          <w:color w:val="000000"/>
        </w:rPr>
        <w:t>.</w:t>
      </w:r>
    </w:p>
    <w:p w:rsidR="0046135C" w:rsidRDefault="0046135C" w:rsidP="00551485">
      <w:pPr>
        <w:spacing w:before="100" w:beforeAutospacing="1" w:after="100" w:afterAutospacing="1"/>
        <w:rPr>
          <w:color w:val="000000"/>
        </w:rPr>
      </w:pPr>
      <w:r w:rsidRPr="0046135C">
        <w:rPr>
          <w:color w:val="000000"/>
        </w:rPr>
        <w:t>Adopting the operational models of these branches—delivering exceptional community value from a small physical footprint—is the blueprint for </w:t>
      </w:r>
      <w:r w:rsidRPr="0046135C">
        <w:rPr>
          <w:b/>
          <w:bCs/>
          <w:color w:val="000000"/>
        </w:rPr>
        <w:t>optimizing the entire TPL Hidden Engine</w:t>
      </w:r>
      <w:r w:rsidRPr="0046135C">
        <w:rPr>
          <w:color w:val="000000"/>
        </w:rPr>
        <w:t> for future success.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Here are the required Tableau Calculated Fields:</w:t>
      </w:r>
    </w:p>
    <w:p w:rsidR="000879F5" w:rsidRDefault="00A72234" w:rsidP="000879F5">
      <w:r w:rsidRPr="00A72234">
        <w:rPr>
          <w:noProof/>
          <w14:ligatures w14:val="standardContextual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📈</w:t>
      </w:r>
      <w:r>
        <w:rPr>
          <w:color w:val="000000"/>
        </w:rPr>
        <w:t xml:space="preserve"> Indexed Trends (Base Year: 2015 = 100)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You will need to create two main Indexed Measures,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each requiring a separate calculation to establish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2015 Base Value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using a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Level of Detail (LOD)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expression.</w: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1. Circulation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physical circulation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6546"/>
        <w:gridCol w:w="1517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Circulation (2015 Base Value)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rd"/>
                <w:highlight w:val="yellow"/>
              </w:rPr>
              <w:t>FIXED </w:t>
            </w:r>
            <w:r w:rsidRPr="00314E0E">
              <w:rPr>
                <w:rStyle w:val="mopen"/>
                <w:highlight w:val="yellow"/>
              </w:rPr>
              <w:t>[</w:t>
            </w:r>
            <w:proofErr w:type="spellStart"/>
            <w:r w:rsidRPr="00314E0E">
              <w:rPr>
                <w:rStyle w:val="mord"/>
                <w:highlight w:val="yellow"/>
              </w:rPr>
              <w:t>BranchCode</w:t>
            </w:r>
            <w:proofErr w:type="spellEnd"/>
            <w:proofErr w:type="gramStart"/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:</w:t>
            </w:r>
            <w:r w:rsidRPr="00314E0E">
              <w:rPr>
                <w:rStyle w:val="mord"/>
                <w:highlight w:val="yellow"/>
              </w:rPr>
              <w:t>SUM</w:t>
            </w:r>
            <w:proofErr w:type="gramEnd"/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IF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Year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=</w:t>
            </w:r>
            <w:r w:rsidRPr="00314E0E">
              <w:rPr>
                <w:rStyle w:val="mord"/>
                <w:highlight w:val="yellow"/>
              </w:rPr>
              <w:t>2015 THEN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Circulation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ord"/>
                <w:highlight w:val="yellow"/>
              </w:rPr>
              <w:t> END</w:t>
            </w:r>
            <w:r w:rsidRPr="00314E0E">
              <w:rPr>
                <w:rStyle w:val="mclose"/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>Calculates and fixes the total circulation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Physical Circulation Index (Base 100)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SUM</w:t>
            </w:r>
            <w:r w:rsidRPr="00314E0E">
              <w:rPr>
                <w:rStyle w:val="mopen"/>
                <w:highlight w:val="yellow"/>
              </w:rPr>
              <w:t>([</w:t>
            </w:r>
            <w:r w:rsidRPr="00314E0E">
              <w:rPr>
                <w:rStyle w:val="mord"/>
                <w:highlight w:val="yellow"/>
              </w:rPr>
              <w:t>Circulation</w:t>
            </w:r>
            <w:r w:rsidRPr="00314E0E">
              <w:rPr>
                <w:rStyle w:val="mclose"/>
                <w:highlight w:val="yellow"/>
              </w:rPr>
              <w:t>])</w:t>
            </w:r>
            <w:proofErr w:type="gramStart"/>
            <w:r w:rsidRPr="00314E0E">
              <w:rPr>
                <w:rStyle w:val="mord"/>
                <w:highlight w:val="yellow"/>
              </w:rPr>
              <w:t>/</w:t>
            </w:r>
            <w:r w:rsidRPr="00314E0E">
              <w:rPr>
                <w:rStyle w:val="mopen"/>
                <w:highlight w:val="yellow"/>
              </w:rPr>
              <w:t>[</w:t>
            </w:r>
            <w:proofErr w:type="gramEnd"/>
            <w:r w:rsidRPr="00314E0E">
              <w:rPr>
                <w:rStyle w:val="mord"/>
                <w:highlight w:val="yellow"/>
              </w:rPr>
              <w:t>Circulation (2015 Base Value)</w:t>
            </w:r>
            <w:r w:rsidRPr="00314E0E">
              <w:rPr>
                <w:rStyle w:val="mclose"/>
                <w:highlight w:val="yellow"/>
              </w:rPr>
              <w:t>])</w:t>
            </w:r>
            <w:r w:rsidRPr="00314E0E">
              <w:rPr>
                <w:rStyle w:val="mbin"/>
                <w:highlight w:val="yellow"/>
              </w:rPr>
              <w:t>×</w:t>
            </w:r>
            <w:r w:rsidRPr="00314E0E">
              <w:rPr>
                <w:rStyle w:val="mord"/>
                <w:highlight w:val="yellow"/>
              </w:rPr>
              <w:t>100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 xml:space="preserve">Divides the current year's circulation by the 2015 base value </w:t>
            </w:r>
            <w:r w:rsidRPr="00314E0E">
              <w:rPr>
                <w:highlight w:val="yellow"/>
              </w:rPr>
              <w:lastRenderedPageBreak/>
              <w:t>and multiplies by 100 to create the index.</w:t>
            </w:r>
            <w:r w:rsidRPr="00314E0E">
              <w:rPr>
                <w:rStyle w:val="apple-converted-space"/>
                <w:highlight w:val="yellow"/>
              </w:rPr>
              <w:t> </w:t>
            </w:r>
            <w:r w:rsidRPr="00314E0E">
              <w:rPr>
                <w:b/>
                <w:bCs/>
                <w:highlight w:val="yellow"/>
              </w:rPr>
              <w:t>Format this as a Number (0 Decimal Places).</w:t>
            </w:r>
          </w:p>
        </w:tc>
      </w:tr>
    </w:tbl>
    <w:p w:rsidR="000879F5" w:rsidRDefault="00A72234" w:rsidP="000879F5">
      <w:r w:rsidRPr="00A72234">
        <w:rPr>
          <w:noProof/>
          <w14:ligatures w14:val="standardContextual"/>
        </w:rPr>
        <w:lastRenderedPageBreak/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3"/>
        <w:rPr>
          <w:color w:val="000000"/>
        </w:rPr>
      </w:pPr>
      <w:r>
        <w:rPr>
          <w:color w:val="000000"/>
        </w:rPr>
        <w:t>2. Card Registrations Index Formula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This formula tracks how new user acquisition (registrations) has changed relative to its 2015 volume for each branch.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6085"/>
        <w:gridCol w:w="1929"/>
      </w:tblGrid>
      <w:tr w:rsidR="000879F5" w:rsidTr="000879F5">
        <w:tc>
          <w:tcPr>
            <w:tcW w:w="0" w:type="auto"/>
            <w:hideMark/>
          </w:tcPr>
          <w:p w:rsidR="000879F5" w:rsidRDefault="000879F5">
            <w:r>
              <w:t>Tableau Calculated Field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Formula</w:t>
            </w:r>
          </w:p>
        </w:tc>
        <w:tc>
          <w:tcPr>
            <w:tcW w:w="0" w:type="auto"/>
            <w:hideMark/>
          </w:tcPr>
          <w:p w:rsidR="000879F5" w:rsidRDefault="000879F5">
            <w:r>
              <w:t>Purpose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Registrations (2015 Base Value)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rd"/>
                <w:highlight w:val="yellow"/>
              </w:rPr>
              <w:t>FIXED </w:t>
            </w:r>
            <w:r w:rsidRPr="00314E0E">
              <w:rPr>
                <w:rStyle w:val="mopen"/>
                <w:highlight w:val="yellow"/>
              </w:rPr>
              <w:t>[</w:t>
            </w:r>
            <w:proofErr w:type="spellStart"/>
            <w:r w:rsidRPr="00314E0E">
              <w:rPr>
                <w:rStyle w:val="mord"/>
                <w:highlight w:val="yellow"/>
              </w:rPr>
              <w:t>BranchCode</w:t>
            </w:r>
            <w:proofErr w:type="spellEnd"/>
            <w:proofErr w:type="gramStart"/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:</w:t>
            </w:r>
            <w:r w:rsidRPr="00314E0E">
              <w:rPr>
                <w:rStyle w:val="mord"/>
                <w:highlight w:val="yellow"/>
              </w:rPr>
              <w:t>SUM</w:t>
            </w:r>
            <w:proofErr w:type="gramEnd"/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IF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Year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rel"/>
                <w:highlight w:val="yellow"/>
              </w:rPr>
              <w:t>=</w:t>
            </w:r>
            <w:r w:rsidRPr="00314E0E">
              <w:rPr>
                <w:rStyle w:val="mord"/>
                <w:highlight w:val="yellow"/>
              </w:rPr>
              <w:t>2015 THEN </w:t>
            </w:r>
            <w:r w:rsidRPr="00314E0E">
              <w:rPr>
                <w:rStyle w:val="mopen"/>
                <w:highlight w:val="yellow"/>
              </w:rPr>
              <w:t>[</w:t>
            </w:r>
            <w:r w:rsidRPr="00314E0E">
              <w:rPr>
                <w:rStyle w:val="mord"/>
                <w:highlight w:val="yellow"/>
              </w:rPr>
              <w:t>Registrations</w:t>
            </w:r>
            <w:r w:rsidRPr="00314E0E">
              <w:rPr>
                <w:rStyle w:val="mclose"/>
                <w:highlight w:val="yellow"/>
              </w:rPr>
              <w:t>]</w:t>
            </w:r>
            <w:r w:rsidRPr="00314E0E">
              <w:rPr>
                <w:rStyle w:val="mord"/>
                <w:highlight w:val="yellow"/>
              </w:rPr>
              <w:t> END</w:t>
            </w:r>
            <w:r w:rsidRPr="00314E0E">
              <w:rPr>
                <w:rStyle w:val="mclose"/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>Calculates and fixes the total registrations for a specific branch in the base year (2015).</w:t>
            </w:r>
          </w:p>
        </w:tc>
      </w:tr>
      <w:tr w:rsidR="000879F5" w:rsidTr="000879F5"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b/>
                <w:bCs/>
                <w:highlight w:val="yellow"/>
              </w:rPr>
              <w:t>Card Registrations Index (Base 100)</w:t>
            </w:r>
          </w:p>
        </w:tc>
        <w:tc>
          <w:tcPr>
            <w:tcW w:w="0" w:type="auto"/>
            <w:hideMark/>
          </w:tcPr>
          <w:p w:rsidR="000879F5" w:rsidRPr="00314E0E" w:rsidRDefault="000879F5" w:rsidP="000879F5">
            <w:pPr>
              <w:rPr>
                <w:highlight w:val="yellow"/>
              </w:rPr>
            </w:pPr>
            <w:r w:rsidRPr="00314E0E">
              <w:rPr>
                <w:rStyle w:val="mopen"/>
                <w:highlight w:val="yellow"/>
              </w:rPr>
              <w:t>(</w:t>
            </w:r>
            <w:r w:rsidRPr="00314E0E">
              <w:rPr>
                <w:rStyle w:val="mord"/>
                <w:highlight w:val="yellow"/>
              </w:rPr>
              <w:t>SUM</w:t>
            </w:r>
            <w:r w:rsidRPr="00314E0E">
              <w:rPr>
                <w:rStyle w:val="mopen"/>
                <w:highlight w:val="yellow"/>
              </w:rPr>
              <w:t>([</w:t>
            </w:r>
            <w:r w:rsidRPr="00314E0E">
              <w:rPr>
                <w:rStyle w:val="mord"/>
                <w:highlight w:val="yellow"/>
              </w:rPr>
              <w:t>Registrations</w:t>
            </w:r>
            <w:r w:rsidRPr="00314E0E">
              <w:rPr>
                <w:rStyle w:val="mclose"/>
                <w:highlight w:val="yellow"/>
              </w:rPr>
              <w:t>])</w:t>
            </w:r>
            <w:proofErr w:type="gramStart"/>
            <w:r w:rsidRPr="00314E0E">
              <w:rPr>
                <w:rStyle w:val="mord"/>
                <w:highlight w:val="yellow"/>
              </w:rPr>
              <w:t>/</w:t>
            </w:r>
            <w:r w:rsidRPr="00314E0E">
              <w:rPr>
                <w:rStyle w:val="mopen"/>
                <w:highlight w:val="yellow"/>
              </w:rPr>
              <w:t>[</w:t>
            </w:r>
            <w:proofErr w:type="gramEnd"/>
            <w:r w:rsidRPr="00314E0E">
              <w:rPr>
                <w:rStyle w:val="mord"/>
                <w:highlight w:val="yellow"/>
              </w:rPr>
              <w:t>Registrations (2015 Base Value)</w:t>
            </w:r>
            <w:r w:rsidRPr="00314E0E">
              <w:rPr>
                <w:rStyle w:val="mclose"/>
                <w:highlight w:val="yellow"/>
              </w:rPr>
              <w:t>])</w:t>
            </w:r>
            <w:r w:rsidRPr="00314E0E">
              <w:rPr>
                <w:rStyle w:val="mbin"/>
                <w:highlight w:val="yellow"/>
              </w:rPr>
              <w:t>×</w:t>
            </w:r>
            <w:r w:rsidRPr="00314E0E">
              <w:rPr>
                <w:rStyle w:val="mord"/>
                <w:highlight w:val="yellow"/>
              </w:rPr>
              <w:t>100</w:t>
            </w:r>
          </w:p>
        </w:tc>
        <w:tc>
          <w:tcPr>
            <w:tcW w:w="0" w:type="auto"/>
            <w:hideMark/>
          </w:tcPr>
          <w:p w:rsidR="000879F5" w:rsidRPr="00314E0E" w:rsidRDefault="000879F5">
            <w:pPr>
              <w:rPr>
                <w:highlight w:val="yellow"/>
              </w:rPr>
            </w:pPr>
            <w:r w:rsidRPr="00314E0E">
              <w:rPr>
                <w:highlight w:val="yellow"/>
              </w:rPr>
              <w:t xml:space="preserve">Creates the index for new </w:t>
            </w:r>
            <w:proofErr w:type="spellStart"/>
            <w:r w:rsidRPr="00314E0E">
              <w:rPr>
                <w:highlight w:val="yellow"/>
              </w:rPr>
              <w:t>card</w:t>
            </w:r>
            <w:proofErr w:type="spellEnd"/>
            <w:r w:rsidRPr="00314E0E">
              <w:rPr>
                <w:highlight w:val="yellow"/>
              </w:rPr>
              <w:t xml:space="preserve"> registrations.</w:t>
            </w:r>
            <w:r w:rsidRPr="00314E0E">
              <w:rPr>
                <w:rStyle w:val="apple-converted-space"/>
                <w:highlight w:val="yellow"/>
              </w:rPr>
              <w:t> </w:t>
            </w:r>
            <w:r w:rsidRPr="00314E0E">
              <w:rPr>
                <w:b/>
                <w:bCs/>
                <w:highlight w:val="yellow"/>
              </w:rPr>
              <w:t>Format this as a Number (0 Decimal Places).</w:t>
            </w:r>
          </w:p>
        </w:tc>
      </w:tr>
    </w:tbl>
    <w:p w:rsidR="000879F5" w:rsidRDefault="000879F5" w:rsidP="000879F5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0879F5" w:rsidRDefault="00A72234" w:rsidP="000879F5">
      <w:r w:rsidRPr="00A72234">
        <w:rPr>
          <w:noProof/>
          <w14:ligatures w14:val="standardContextual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0879F5" w:rsidRDefault="000879F5" w:rsidP="000879F5">
      <w:pPr>
        <w:pStyle w:val="Heading2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📊</w:t>
      </w:r>
      <w:r>
        <w:rPr>
          <w:color w:val="000000"/>
        </w:rPr>
        <w:t xml:space="preserve"> Final Visualization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t>To visualize the insight (</w:t>
      </w:r>
      <w:r>
        <w:rPr>
          <w:b/>
          <w:bCs/>
          <w:color w:val="000000"/>
        </w:rPr>
        <w:t>Persistent Engagement</w:t>
      </w:r>
      <w:r>
        <w:rPr>
          <w:color w:val="000000"/>
        </w:rPr>
        <w:t>):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Year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Columns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Place</w:t>
      </w:r>
      <w:r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BranchCode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on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Color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Detail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 (if analyzing individual branches).</w:t>
      </w:r>
    </w:p>
    <w:p w:rsidR="000879F5" w:rsidRDefault="000879F5" w:rsidP="000879F5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Drag both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Physical Circulation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Card Registrations Index (Base 100)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Rows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shelf.</w:t>
      </w:r>
    </w:p>
    <w:p w:rsidR="000879F5" w:rsidRDefault="000879F5" w:rsidP="000879F5">
      <w:pPr>
        <w:pStyle w:val="NormalWeb"/>
        <w:rPr>
          <w:color w:val="000000"/>
        </w:rPr>
      </w:pPr>
      <w:r>
        <w:rPr>
          <w:color w:val="000000"/>
        </w:rPr>
        <w:lastRenderedPageBreak/>
        <w:t>The result will be two parallel lines for each branch.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If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Circulation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drops below 100 (indicating less physical activity than 2015),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but the</w:t>
      </w:r>
      <w:r>
        <w:rPr>
          <w:rStyle w:val="apple-converted-space"/>
          <w:color w:val="000000"/>
        </w:rPr>
        <w:t> </w:t>
      </w:r>
      <w:r>
        <w:rPr>
          <w:b/>
          <w:bCs/>
          <w:color w:val="000000"/>
        </w:rPr>
        <w:t>Registrations Index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remains near or above 100,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 trend</w:t>
      </w:r>
    </w:p>
    <w:p w:rsidR="000879F5" w:rsidRDefault="000879F5" w:rsidP="000879F5">
      <w:pPr>
        <w:spacing w:before="100" w:beforeAutospacing="1" w:after="100" w:afterAutospacing="1"/>
        <w:outlineLvl w:val="1"/>
        <w:rPr>
          <w:rFonts w:ascii="Apple Color Emoji" w:hAnsi="Apple Color Emoji" w:cs="Apple Color Emoji"/>
          <w:b/>
          <w:bCs/>
          <w:color w:val="000000"/>
          <w:sz w:val="36"/>
          <w:szCs w:val="36"/>
        </w:rPr>
      </w:pP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📊</w:t>
      </w:r>
      <w:r w:rsidRPr="000879F5">
        <w:rPr>
          <w:b/>
          <w:bCs/>
          <w:color w:val="000000"/>
          <w:sz w:val="36"/>
          <w:szCs w:val="36"/>
        </w:rPr>
        <w:t xml:space="preserve"> Longitudinal Analysis (2023 vs. 201</w:t>
      </w:r>
      <w:r w:rsidR="00B850B6">
        <w:rPr>
          <w:b/>
          <w:bCs/>
          <w:color w:val="000000"/>
          <w:sz w:val="36"/>
          <w:szCs w:val="36"/>
        </w:rPr>
        <w:t>2</w:t>
      </w:r>
      <w:r w:rsidRPr="000879F5">
        <w:rPr>
          <w:b/>
          <w:bCs/>
          <w:color w:val="000000"/>
          <w:sz w:val="36"/>
          <w:szCs w:val="36"/>
        </w:rPr>
        <w:t>) Template</w:t>
      </w:r>
    </w:p>
    <w:p w:rsidR="000879F5" w:rsidRPr="006922B9" w:rsidRDefault="000879F5" w:rsidP="000879F5">
      <w:pPr>
        <w:spacing w:before="100" w:beforeAutospacing="1" w:after="100" w:afterAutospacing="1"/>
        <w:rPr>
          <w:color w:val="000000" w:themeColor="text1"/>
          <w:highlight w:val="yellow"/>
        </w:rPr>
      </w:pPr>
      <w:r w:rsidRPr="006922B9">
        <w:rPr>
          <w:color w:val="000000" w:themeColor="text1"/>
          <w:highlight w:val="yellow"/>
        </w:rPr>
        <w:t>This set of calculations can be applied to any of the annual metrics (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Visits</w:t>
      </w:r>
      <w:r w:rsidRPr="006922B9">
        <w:rPr>
          <w:color w:val="000000" w:themeColor="text1"/>
          <w:highlight w:val="yellow"/>
        </w:rPr>
        <w:t>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Circulation</w:t>
      </w:r>
      <w:r w:rsidRPr="006922B9">
        <w:rPr>
          <w:color w:val="000000" w:themeColor="text1"/>
          <w:highlight w:val="yellow"/>
        </w:rPr>
        <w:t>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Registrations</w:t>
      </w:r>
      <w:r w:rsidRPr="006922B9">
        <w:rPr>
          <w:color w:val="000000" w:themeColor="text1"/>
          <w:highlight w:val="yellow"/>
        </w:rPr>
        <w:t>) to perform the required 2019 vs. 2023 comparison. You only need to replace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[Measure]</w:t>
      </w:r>
      <w:r w:rsidRPr="006922B9">
        <w:rPr>
          <w:color w:val="000000" w:themeColor="text1"/>
          <w:highlight w:val="yellow"/>
        </w:rPr>
        <w:t> with the corresponding field name (e.g.,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[Visits]</w:t>
      </w:r>
      <w:r w:rsidRPr="006922B9">
        <w:rPr>
          <w:color w:val="000000" w:themeColor="text1"/>
          <w:highlight w:val="yellow"/>
        </w:rPr>
        <w:t>, </w:t>
      </w:r>
      <w:r w:rsidRPr="006922B9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[Circulation]</w:t>
      </w:r>
      <w:r w:rsidRPr="006922B9">
        <w:rPr>
          <w:color w:val="000000" w:themeColor="text1"/>
          <w:highlight w:val="yellow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809"/>
        <w:gridCol w:w="3544"/>
      </w:tblGrid>
      <w:tr w:rsidR="006922B9" w:rsidRPr="006922B9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Formula (for Visits)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Purpose</w:t>
            </w:r>
          </w:p>
        </w:tc>
      </w:tr>
      <w:tr w:rsidR="006922B9" w:rsidRPr="006922B9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b/>
                <w:bCs/>
                <w:color w:val="000000" w:themeColor="text1"/>
                <w:highlight w:val="yellow"/>
              </w:rPr>
              <w:t>Visits 2023 (LOD)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proofErr w:type="gramStart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SUM(</w:t>
            </w:r>
            <w:proofErr w:type="gramEnd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IF [Year] = 2023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Isolates the total Visits for the latest year (2023).</w:t>
            </w:r>
          </w:p>
        </w:tc>
      </w:tr>
      <w:tr w:rsidR="006922B9" w:rsidRPr="006922B9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b/>
                <w:bCs/>
                <w:color w:val="000000" w:themeColor="text1"/>
                <w:highlight w:val="yellow"/>
              </w:rPr>
              <w:t>Visits 2019 (LOD)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proofErr w:type="gramStart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SUM(</w:t>
            </w:r>
            <w:proofErr w:type="gramEnd"/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IF [Year] = 2019 THEN [Visits] END)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color w:val="000000" w:themeColor="text1"/>
                <w:highlight w:val="yellow"/>
              </w:rPr>
              <w:t>Isolates the total Visits for the baseline year (2019).</w:t>
            </w:r>
          </w:p>
        </w:tc>
      </w:tr>
      <w:tr w:rsidR="006922B9" w:rsidRPr="006922B9" w:rsidTr="006922B9">
        <w:trPr>
          <w:trHeight w:val="54"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b/>
                <w:bCs/>
                <w:color w:val="000000" w:themeColor="text1"/>
                <w:highlight w:val="yellow"/>
              </w:rPr>
              <w:t>Visits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  <w:highlight w:val="yellow"/>
              </w:rPr>
            </w:pPr>
            <w:r w:rsidRPr="006922B9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([Visits 2023 (LOD)] - [Visits 2019 (LOD)]) / [Visits 2019 (LOD)]</w:t>
            </w:r>
          </w:p>
        </w:tc>
        <w:tc>
          <w:tcPr>
            <w:tcW w:w="0" w:type="auto"/>
            <w:vAlign w:val="center"/>
            <w:hideMark/>
          </w:tcPr>
          <w:p w:rsidR="000879F5" w:rsidRPr="006922B9" w:rsidRDefault="000879F5" w:rsidP="000879F5">
            <w:pPr>
              <w:rPr>
                <w:color w:val="000000" w:themeColor="text1"/>
              </w:rPr>
            </w:pPr>
            <w:r w:rsidRPr="006922B9">
              <w:rPr>
                <w:color w:val="000000" w:themeColor="text1"/>
                <w:highlight w:val="yellow"/>
              </w:rPr>
              <w:t>Calculates the percentage change. </w:t>
            </w:r>
            <w:r w:rsidRPr="006922B9">
              <w:rPr>
                <w:b/>
                <w:bCs/>
                <w:color w:val="000000" w:themeColor="text1"/>
                <w:highlight w:val="yellow"/>
              </w:rPr>
              <w:t>Format this as a Percentage.</w:t>
            </w:r>
          </w:p>
        </w:tc>
      </w:tr>
    </w:tbl>
    <w:p w:rsidR="000879F5" w:rsidRPr="000879F5" w:rsidRDefault="00A72234" w:rsidP="000879F5">
      <w:r w:rsidRPr="00A72234">
        <w:rPr>
          <w:noProof/>
          <w14:ligatures w14:val="standardContextual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0879F5">
        <w:rPr>
          <w:rFonts w:ascii="Apple Color Emoji" w:hAnsi="Apple Color Emoji" w:cs="Apple Color Emoji"/>
          <w:b/>
          <w:bCs/>
          <w:color w:val="000000"/>
          <w:sz w:val="36"/>
          <w:szCs w:val="36"/>
        </w:rPr>
        <w:t>📈</w:t>
      </w:r>
      <w:r w:rsidRPr="000879F5">
        <w:rPr>
          <w:b/>
          <w:bCs/>
          <w:color w:val="000000"/>
          <w:sz w:val="36"/>
          <w:szCs w:val="36"/>
        </w:rPr>
        <w:t xml:space="preserve"> TPL Hidden Engine Core Metric Formulas</w: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1. User Density Score (Longitudinal)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User Density Score (UDS)</w:t>
      </w:r>
      <w:r w:rsidRPr="000879F5">
        <w:rPr>
          <w:color w:val="000000"/>
        </w:rPr>
        <w:t> is a measure of branch efficiency, calculated as total annual activity (Visits + Circulation + Registrations) per square foot of the facility. The longitudinal analysis then measures the growth of this efficiency metric.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requires fields from the annual activity files and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Branch General Information</w:t>
      </w:r>
      <w:r w:rsidRPr="000879F5">
        <w:rPr>
          <w:color w:val="000000"/>
        </w:rPr>
        <w:t> file (</w:t>
      </w:r>
      <w:proofErr w:type="spellStart"/>
      <w:r w:rsidRPr="000879F5">
        <w:rPr>
          <w:rFonts w:ascii="Courier New" w:hAnsi="Courier New" w:cs="Courier New"/>
          <w:color w:val="000000"/>
          <w:sz w:val="20"/>
          <w:szCs w:val="20"/>
        </w:rPr>
        <w:t>SquareFootage</w:t>
      </w:r>
      <w:proofErr w:type="spellEnd"/>
      <w:r w:rsidRPr="000879F5">
        <w:rPr>
          <w:color w:val="00000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4047"/>
        <w:gridCol w:w="3699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Total Activity 2023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[Visits 2023 (LOD)] + [Circulation 2023 (LOD)] + [Registrations 2023 (LOD)]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Combines all major activity metrics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UDS 2023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[Total Activity 2023] / AVG([</w:t>
            </w:r>
            <w:proofErr w:type="spellStart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SquareFootage</w:t>
            </w:r>
            <w:proofErr w:type="spellEnd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Calculates the UDS for 2023.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lastRenderedPageBreak/>
              <w:t>UDS 2019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[Total Activity 2019] / AVG([</w:t>
            </w:r>
            <w:proofErr w:type="spellStart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SquareFootage</w:t>
            </w:r>
            <w:proofErr w:type="spellEnd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Calculates the UDS for 2019 (using the respective 2019 Total Activity formula).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UDS Growth (2023 vs 2019) %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([UDS 2023] - [UDS 2019]) / [UDS 2019]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Identifies </w:t>
            </w:r>
            <w:r w:rsidRPr="008B38FB">
              <w:rPr>
                <w:b/>
                <w:bCs/>
                <w:highlight w:val="yellow"/>
              </w:rPr>
              <w:t>Resilient Hubs</w:t>
            </w:r>
            <w:r w:rsidRPr="008B38FB">
              <w:rPr>
                <w:highlight w:val="yellow"/>
              </w:rPr>
              <w:t> by showing the branch's efficiency growth. </w:t>
            </w:r>
            <w:r w:rsidRPr="008B38FB">
              <w:rPr>
                <w:b/>
                <w:bCs/>
                <w:highlight w:val="yellow"/>
              </w:rPr>
              <w:t>Format as a Percentage.</w:t>
            </w:r>
          </w:p>
        </w:tc>
      </w:tr>
    </w:tbl>
    <w:p w:rsidR="000879F5" w:rsidRPr="000879F5" w:rsidRDefault="00A72234" w:rsidP="000879F5">
      <w:r w:rsidRPr="00A72234">
        <w:rPr>
          <w:noProof/>
          <w14:ligatures w14:val="standardContextual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879F5" w:rsidRPr="000879F5" w:rsidRDefault="000879F5" w:rsidP="000879F5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0879F5">
        <w:rPr>
          <w:b/>
          <w:bCs/>
          <w:color w:val="000000"/>
          <w:sz w:val="27"/>
          <w:szCs w:val="27"/>
        </w:rPr>
        <w:t>2. Digital Access Reliance Index (DARI)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The </w:t>
      </w:r>
      <w:r w:rsidRPr="000879F5">
        <w:rPr>
          <w:b/>
          <w:bCs/>
          <w:color w:val="000000"/>
        </w:rPr>
        <w:t>Digital Access Reliance Index (DARI)</w:t>
      </w:r>
      <w:r w:rsidRPr="000879F5">
        <w:rPr>
          <w:color w:val="000000"/>
        </w:rPr>
        <w:t> is a proxy for how reliant the community is on the branch's digital resources (Workstations), calculated as the ratio of Workstation Sessions to Physical Visits. High DARI values would flag a </w:t>
      </w:r>
      <w:r w:rsidRPr="000879F5">
        <w:rPr>
          <w:b/>
          <w:bCs/>
          <w:color w:val="000000"/>
        </w:rPr>
        <w:t>Digital Divide Hub</w:t>
      </w:r>
      <w:r w:rsidRPr="000879F5">
        <w:rPr>
          <w:color w:val="000000"/>
        </w:rPr>
        <w:t>.</w:t>
      </w:r>
    </w:p>
    <w:p w:rsidR="000879F5" w:rsidRPr="000879F5" w:rsidRDefault="000879F5" w:rsidP="000879F5">
      <w:pPr>
        <w:spacing w:before="100" w:beforeAutospacing="1" w:after="100" w:afterAutospacing="1"/>
        <w:rPr>
          <w:color w:val="000000"/>
        </w:rPr>
      </w:pPr>
      <w:r w:rsidRPr="000879F5">
        <w:rPr>
          <w:color w:val="000000"/>
        </w:rPr>
        <w:t>This calculation uses the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tpl-workstation-usage-annual-by.csv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Sessions</w:t>
      </w:r>
      <w:r w:rsidRPr="000879F5">
        <w:rPr>
          <w:color w:val="000000"/>
        </w:rPr>
        <w:t>) and 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tpl-visits-annual-by-branch.csv</w:t>
      </w:r>
      <w:r w:rsidRPr="000879F5">
        <w:rPr>
          <w:color w:val="000000"/>
        </w:rPr>
        <w:t> (</w:t>
      </w:r>
      <w:r w:rsidRPr="000879F5">
        <w:rPr>
          <w:rFonts w:ascii="Courier New" w:hAnsi="Courier New" w:cs="Courier New"/>
          <w:color w:val="000000"/>
          <w:sz w:val="20"/>
          <w:szCs w:val="20"/>
        </w:rPr>
        <w:t>Visits</w:t>
      </w:r>
      <w:r w:rsidRPr="000879F5">
        <w:rPr>
          <w:color w:val="000000"/>
        </w:rPr>
        <w:t>) files.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537"/>
        <w:gridCol w:w="3674"/>
      </w:tblGrid>
      <w:tr w:rsidR="000879F5" w:rsidRPr="000879F5" w:rsidTr="00087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Tableau Calculated Field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Purpose</w:t>
            </w:r>
          </w:p>
        </w:tc>
      </w:tr>
      <w:tr w:rsidR="000879F5" w:rsidRPr="000879F5" w:rsidTr="000879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b/>
                <w:bCs/>
                <w:highlight w:val="yellow"/>
              </w:rPr>
              <w:t>Digital Access Reliance Index (DARI)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proofErr w:type="gramStart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SUM(</w:t>
            </w:r>
            <w:proofErr w:type="gramEnd"/>
            <w:r w:rsidRPr="008B38FB">
              <w:rPr>
                <w:rFonts w:ascii="Courier New" w:hAnsi="Courier New" w:cs="Courier New"/>
                <w:sz w:val="20"/>
                <w:szCs w:val="20"/>
                <w:highlight w:val="yellow"/>
              </w:rPr>
              <w:t>[Workstation Usage - Sessions]) / SUM([Visits])</w:t>
            </w:r>
          </w:p>
        </w:tc>
        <w:tc>
          <w:tcPr>
            <w:tcW w:w="0" w:type="auto"/>
            <w:vAlign w:val="center"/>
            <w:hideMark/>
          </w:tcPr>
          <w:p w:rsidR="000879F5" w:rsidRPr="008B38FB" w:rsidRDefault="000879F5" w:rsidP="000879F5">
            <w:pPr>
              <w:rPr>
                <w:highlight w:val="yellow"/>
              </w:rPr>
            </w:pPr>
            <w:r w:rsidRPr="008B38FB">
              <w:rPr>
                <w:highlight w:val="yellow"/>
              </w:rPr>
              <w:t>Calculates the proportion of total traffic that is dedicated to using a workstation.</w:t>
            </w:r>
          </w:p>
        </w:tc>
      </w:tr>
    </w:tbl>
    <w:p w:rsidR="000879F5" w:rsidRPr="000879F5" w:rsidRDefault="00A72234" w:rsidP="000879F5">
      <w:r w:rsidRPr="00A72234">
        <w:rPr>
          <w:noProof/>
          <w14:ligatures w14:val="standardContextual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Summary of Tableau YoY Calculation</w:t>
      </w:r>
    </w:p>
    <w:p w:rsidR="00B850B6" w:rsidRPr="004B531B" w:rsidRDefault="00B850B6" w:rsidP="00B850B6">
      <w:pPr>
        <w:pStyle w:val="NormalWeb"/>
        <w:rPr>
          <w:color w:val="000000"/>
          <w:highlight w:val="yellow"/>
        </w:rPr>
      </w:pPr>
      <w:r w:rsidRPr="004B531B">
        <w:rPr>
          <w:color w:val="000000"/>
          <w:highlight w:val="yellow"/>
        </w:rPr>
        <w:t>The Year-over-Year (YoY) Growth calculation in Tableau is achieved using the</w:t>
      </w:r>
      <w:r w:rsidRPr="004B531B">
        <w:rPr>
          <w:rStyle w:val="apple-converted-space"/>
          <w:color w:val="000000"/>
          <w:highlight w:val="yellow"/>
        </w:rPr>
        <w:t> </w:t>
      </w:r>
      <w:r w:rsidRPr="004B531B">
        <w:rPr>
          <w:rStyle w:val="HTMLCode"/>
          <w:b/>
          <w:bCs/>
          <w:color w:val="000000"/>
          <w:highlight w:val="yellow"/>
        </w:rPr>
        <w:t>LOOKUP</w:t>
      </w:r>
      <w:r w:rsidRPr="004B531B">
        <w:rPr>
          <w:rStyle w:val="apple-converted-space"/>
          <w:color w:val="000000"/>
          <w:highlight w:val="yellow"/>
        </w:rPr>
        <w:t> </w:t>
      </w:r>
      <w:r w:rsidRPr="004B531B">
        <w:rPr>
          <w:color w:val="000000"/>
          <w:highlight w:val="yellow"/>
        </w:rPr>
        <w:t>function, which is a powerful table calculation.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270"/>
        <w:gridCol w:w="4304"/>
      </w:tblGrid>
      <w:tr w:rsidR="00B850B6" w:rsidRPr="004B531B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Tableau Formula Example (Visits)</w:t>
            </w:r>
          </w:p>
        </w:tc>
      </w:tr>
      <w:tr w:rsidR="00B850B6" w:rsidRPr="004B531B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1. Previous Year Value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Find the measure value in the previous year's row.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rStyle w:val="HTMLCode"/>
                <w:highlight w:val="yellow"/>
              </w:rPr>
              <w:t>LOOKUP(SUM([Visits]), -1)</w:t>
            </w:r>
          </w:p>
        </w:tc>
      </w:tr>
      <w:tr w:rsidR="00B850B6" w:rsidRPr="004B531B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2. YoY Change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Calculate the absolute difference.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rStyle w:val="HTMLCode"/>
                <w:highlight w:val="yellow"/>
              </w:rPr>
              <w:t>SUM([Visits]) - LOOKUP(SUM([Visits]), -1)</w:t>
            </w:r>
          </w:p>
        </w:tc>
      </w:tr>
      <w:tr w:rsidR="00B850B6" w:rsidRPr="004B531B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3. YoY Growth %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highlight w:val="yellow"/>
              </w:rPr>
              <w:t>Calculate the percentage growth (or decline).</w:t>
            </w:r>
          </w:p>
        </w:tc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rStyle w:val="HTMLCode"/>
                <w:highlight w:val="yellow"/>
              </w:rPr>
              <w:t>(SUM([Visits]) - LOOKUP(SUM([Visits]), -1)) / LOOKUP(SUM([Visits]), -1)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Pr="004B531B" w:rsidRDefault="00B850B6">
            <w:pPr>
              <w:rPr>
                <w:highlight w:val="yellow"/>
              </w:rPr>
            </w:pPr>
            <w:r w:rsidRPr="004B531B">
              <w:rPr>
                <w:b/>
                <w:bCs/>
                <w:highlight w:val="yellow"/>
              </w:rPr>
              <w:t>4. Configuration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 w:rsidRPr="004B531B">
              <w:rPr>
                <w:highlight w:val="yellow"/>
              </w:rPr>
              <w:t>Set the calculated field to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b/>
                <w:bCs/>
                <w:highlight w:val="yellow"/>
              </w:rPr>
              <w:t>"Compute Using"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highlight w:val="yellow"/>
              </w:rPr>
              <w:t>the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rStyle w:val="HTMLCode"/>
                <w:b/>
                <w:bCs/>
                <w:highlight w:val="yellow"/>
              </w:rPr>
              <w:t>Year</w:t>
            </w:r>
            <w:r w:rsidRPr="004B531B">
              <w:rPr>
                <w:rStyle w:val="apple-converted-space"/>
                <w:highlight w:val="yellow"/>
              </w:rPr>
              <w:t> </w:t>
            </w:r>
            <w:r w:rsidRPr="004B531B">
              <w:rPr>
                <w:highlight w:val="yellow"/>
              </w:rPr>
              <w:t>field.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</w:tbl>
    <w:p w:rsidR="00B850B6" w:rsidRDefault="00B850B6" w:rsidP="00B850B6">
      <w:pPr>
        <w:rPr>
          <w:color w:val="000000"/>
        </w:rPr>
      </w:pPr>
      <w:r>
        <w:rPr>
          <w:rStyle w:val="export-sheets-button"/>
          <w:color w:val="000000"/>
        </w:rPr>
        <w:t>Export to Sheets</w:t>
      </w:r>
    </w:p>
    <w:p w:rsidR="00B850B6" w:rsidRDefault="00A72234" w:rsidP="00B850B6">
      <w:r w:rsidRPr="00A72234">
        <w:rPr>
          <w:noProof/>
          <w14:ligatures w14:val="standardContextual"/>
        </w:rPr>
        <w:lastRenderedPageBreak/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850B6" w:rsidRDefault="00B850B6" w:rsidP="00B850B6">
      <w:pPr>
        <w:pStyle w:val="Heading2"/>
        <w:rPr>
          <w:color w:val="000000"/>
        </w:rPr>
      </w:pPr>
      <w:r>
        <w:rPr>
          <w:color w:val="000000"/>
        </w:rPr>
        <w:t>Calculated Visits Year-over-Year (System-Wide)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I have calculated the total Visits and their Year-over-Year growth for the entire library system using the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TPL_data.xlsx - tpl-visits-annual-by-branch.csv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file.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The table below shows the annual total visits, the change from the previous year, and the corresponding percentage growth.</w:t>
      </w:r>
    </w:p>
    <w:p w:rsidR="00B850B6" w:rsidRDefault="00B850B6" w:rsidP="00B850B6">
      <w:pPr>
        <w:pStyle w:val="NormalWeb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fileTag</w:t>
      </w:r>
      <w:proofErr w:type="spellEnd"/>
      <w:r>
        <w:rPr>
          <w:color w:val="000000"/>
        </w:rPr>
        <w:t>&gt;visits_yoy_calculation.csv&lt;/</w:t>
      </w:r>
      <w:proofErr w:type="spellStart"/>
      <w:r>
        <w:rPr>
          <w:color w:val="000000"/>
        </w:rPr>
        <w:t>fileTag</w:t>
      </w:r>
      <w:proofErr w:type="spellEnd"/>
      <w:r>
        <w:rPr>
          <w:color w:val="000000"/>
        </w:rPr>
        <w:t>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187"/>
        <w:gridCol w:w="2047"/>
        <w:gridCol w:w="1320"/>
        <w:gridCol w:w="1595"/>
      </w:tblGrid>
      <w:tr w:rsidR="00B850B6" w:rsidTr="00B85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Total Visits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Previous Year Visits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YoY Change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YoY Growth 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18,872,613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/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18,485,394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18,872,613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-387,219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-2.05%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18,335,931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18,485,394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-149,463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-0.81%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18,153,077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18,335,931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-182,854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-1.00%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18,232,367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18,153,077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79,290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0.44%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17,370,032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18,232,367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-862,335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-4.73%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17,577,373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17,370,032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207,341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1.19%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17,248,761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17,577,373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-328,612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-1.87%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5,557,751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17,248,761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-11,691,010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-67.78%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4,029,488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5,557,751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-1,528,263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-27.50%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9,566,486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4,029,488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5,536,998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137.41%</w:t>
            </w:r>
          </w:p>
        </w:tc>
      </w:tr>
      <w:tr w:rsidR="00B850B6" w:rsidTr="00B85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12,507,823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9,566,486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t>2,941,337</w:t>
            </w:r>
          </w:p>
        </w:tc>
        <w:tc>
          <w:tcPr>
            <w:tcW w:w="0" w:type="auto"/>
            <w:vAlign w:val="center"/>
            <w:hideMark/>
          </w:tcPr>
          <w:p w:rsidR="00B850B6" w:rsidRDefault="00B850B6">
            <w:r>
              <w:rPr>
                <w:b/>
                <w:bCs/>
              </w:rPr>
              <w:t>30.75%</w:t>
            </w:r>
          </w:p>
        </w:tc>
      </w:tr>
    </w:tbl>
    <w:p w:rsidR="00B850B6" w:rsidRPr="00551485" w:rsidRDefault="00B850B6" w:rsidP="00551485">
      <w:pPr>
        <w:spacing w:before="100" w:beforeAutospacing="1" w:after="100" w:afterAutospacing="1"/>
        <w:rPr>
          <w:color w:val="000000"/>
        </w:rPr>
      </w:pPr>
    </w:p>
    <w:sectPr w:rsidR="00B850B6" w:rsidRPr="00551485" w:rsidSect="004731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E2B97"/>
    <w:multiLevelType w:val="multilevel"/>
    <w:tmpl w:val="D9EA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158D9"/>
    <w:multiLevelType w:val="multilevel"/>
    <w:tmpl w:val="75B2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059413">
    <w:abstractNumId w:val="0"/>
  </w:num>
  <w:num w:numId="2" w16cid:durableId="2120830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5C"/>
    <w:rsid w:val="00046985"/>
    <w:rsid w:val="000879F5"/>
    <w:rsid w:val="00165587"/>
    <w:rsid w:val="002E3FE0"/>
    <w:rsid w:val="003076DB"/>
    <w:rsid w:val="00314E0E"/>
    <w:rsid w:val="0046135C"/>
    <w:rsid w:val="004731F5"/>
    <w:rsid w:val="004B531B"/>
    <w:rsid w:val="00551485"/>
    <w:rsid w:val="006922B9"/>
    <w:rsid w:val="008B38FB"/>
    <w:rsid w:val="009A4CA5"/>
    <w:rsid w:val="00A72234"/>
    <w:rsid w:val="00A941F8"/>
    <w:rsid w:val="00AC207E"/>
    <w:rsid w:val="00AD378D"/>
    <w:rsid w:val="00AF0A19"/>
    <w:rsid w:val="00B20D9A"/>
    <w:rsid w:val="00B850B6"/>
    <w:rsid w:val="00BA6CAF"/>
    <w:rsid w:val="00C677DE"/>
    <w:rsid w:val="00D57403"/>
    <w:rsid w:val="00D6200E"/>
    <w:rsid w:val="00DA7E85"/>
    <w:rsid w:val="00DF0D48"/>
    <w:rsid w:val="00DF25F2"/>
    <w:rsid w:val="00EC4A95"/>
    <w:rsid w:val="00F6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641A"/>
  <w14:defaultImageDpi w14:val="32767"/>
  <w15:chartTrackingRefBased/>
  <w15:docId w15:val="{27C7C318-7B90-CE42-A7AD-BE3FE8A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79F5"/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13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135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135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35C"/>
    <w:rPr>
      <w:rFonts w:ascii="Times New Roman" w:eastAsia="Times New Roman" w:hAnsi="Times New Roman" w:cs="Times New Roman"/>
      <w:b/>
      <w:bCs/>
      <w:kern w:val="0"/>
      <w:sz w:val="36"/>
      <w:szCs w:val="36"/>
      <w:lang w:val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135C"/>
    <w:rPr>
      <w:rFonts w:ascii="Times New Roman" w:eastAsia="Times New Roman" w:hAnsi="Times New Roman" w:cs="Times New Roman"/>
      <w:b/>
      <w:bCs/>
      <w:kern w:val="0"/>
      <w:sz w:val="27"/>
      <w:szCs w:val="27"/>
      <w:lang w:val="en-C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6135C"/>
    <w:rPr>
      <w:rFonts w:ascii="Times New Roman" w:eastAsia="Times New Roman" w:hAnsi="Times New Roman" w:cs="Times New Roman"/>
      <w:b/>
      <w:bCs/>
      <w:kern w:val="0"/>
      <w:lang w:val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135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6135C"/>
  </w:style>
  <w:style w:type="character" w:customStyle="1" w:styleId="citation-125">
    <w:name w:val="citation-125"/>
    <w:basedOn w:val="DefaultParagraphFont"/>
    <w:rsid w:val="0046135C"/>
  </w:style>
  <w:style w:type="character" w:customStyle="1" w:styleId="citation-124">
    <w:name w:val="citation-124"/>
    <w:basedOn w:val="DefaultParagraphFont"/>
    <w:rsid w:val="0046135C"/>
  </w:style>
  <w:style w:type="character" w:customStyle="1" w:styleId="citation-123">
    <w:name w:val="citation-123"/>
    <w:basedOn w:val="DefaultParagraphFont"/>
    <w:rsid w:val="0046135C"/>
  </w:style>
  <w:style w:type="character" w:customStyle="1" w:styleId="citation-122">
    <w:name w:val="citation-122"/>
    <w:basedOn w:val="DefaultParagraphFont"/>
    <w:rsid w:val="0046135C"/>
  </w:style>
  <w:style w:type="character" w:customStyle="1" w:styleId="mrel">
    <w:name w:val="mrel"/>
    <w:basedOn w:val="DefaultParagraphFont"/>
    <w:rsid w:val="0046135C"/>
  </w:style>
  <w:style w:type="character" w:customStyle="1" w:styleId="mord">
    <w:name w:val="mord"/>
    <w:basedOn w:val="DefaultParagraphFont"/>
    <w:rsid w:val="0046135C"/>
  </w:style>
  <w:style w:type="character" w:customStyle="1" w:styleId="citation-121">
    <w:name w:val="citation-121"/>
    <w:basedOn w:val="DefaultParagraphFont"/>
    <w:rsid w:val="0046135C"/>
  </w:style>
  <w:style w:type="character" w:customStyle="1" w:styleId="citation-120">
    <w:name w:val="citation-120"/>
    <w:basedOn w:val="DefaultParagraphFont"/>
    <w:rsid w:val="0046135C"/>
  </w:style>
  <w:style w:type="character" w:customStyle="1" w:styleId="export-sheets-button">
    <w:name w:val="export-sheets-button"/>
    <w:basedOn w:val="DefaultParagraphFont"/>
    <w:rsid w:val="0046135C"/>
  </w:style>
  <w:style w:type="character" w:customStyle="1" w:styleId="citation-119">
    <w:name w:val="citation-119"/>
    <w:basedOn w:val="DefaultParagraphFont"/>
    <w:rsid w:val="0046135C"/>
  </w:style>
  <w:style w:type="character" w:customStyle="1" w:styleId="citation-118">
    <w:name w:val="citation-118"/>
    <w:basedOn w:val="DefaultParagraphFont"/>
    <w:rsid w:val="0046135C"/>
  </w:style>
  <w:style w:type="character" w:customStyle="1" w:styleId="citation-117">
    <w:name w:val="citation-117"/>
    <w:basedOn w:val="DefaultParagraphFont"/>
    <w:rsid w:val="0046135C"/>
  </w:style>
  <w:style w:type="character" w:customStyle="1" w:styleId="citation-116">
    <w:name w:val="citation-116"/>
    <w:basedOn w:val="DefaultParagraphFont"/>
    <w:rsid w:val="0046135C"/>
  </w:style>
  <w:style w:type="character" w:customStyle="1" w:styleId="citation-115">
    <w:name w:val="citation-115"/>
    <w:basedOn w:val="DefaultParagraphFont"/>
    <w:rsid w:val="0046135C"/>
  </w:style>
  <w:style w:type="character" w:customStyle="1" w:styleId="citation-114">
    <w:name w:val="citation-114"/>
    <w:basedOn w:val="DefaultParagraphFont"/>
    <w:rsid w:val="0046135C"/>
  </w:style>
  <w:style w:type="character" w:customStyle="1" w:styleId="vlist-s">
    <w:name w:val="vlist-s"/>
    <w:basedOn w:val="DefaultParagraphFont"/>
    <w:rsid w:val="0046135C"/>
  </w:style>
  <w:style w:type="character" w:customStyle="1" w:styleId="mbin">
    <w:name w:val="mbin"/>
    <w:basedOn w:val="DefaultParagraphFont"/>
    <w:rsid w:val="0046135C"/>
  </w:style>
  <w:style w:type="character" w:customStyle="1" w:styleId="citation-113">
    <w:name w:val="citation-113"/>
    <w:basedOn w:val="DefaultParagraphFont"/>
    <w:rsid w:val="0046135C"/>
  </w:style>
  <w:style w:type="character" w:customStyle="1" w:styleId="citation-112">
    <w:name w:val="citation-112"/>
    <w:basedOn w:val="DefaultParagraphFont"/>
    <w:rsid w:val="0046135C"/>
  </w:style>
  <w:style w:type="character" w:customStyle="1" w:styleId="citation-111">
    <w:name w:val="citation-111"/>
    <w:basedOn w:val="DefaultParagraphFont"/>
    <w:rsid w:val="0046135C"/>
  </w:style>
  <w:style w:type="character" w:customStyle="1" w:styleId="citation-110">
    <w:name w:val="citation-110"/>
    <w:basedOn w:val="DefaultParagraphFont"/>
    <w:rsid w:val="0046135C"/>
  </w:style>
  <w:style w:type="character" w:customStyle="1" w:styleId="citation-109">
    <w:name w:val="citation-109"/>
    <w:basedOn w:val="DefaultParagraphFont"/>
    <w:rsid w:val="0046135C"/>
  </w:style>
  <w:style w:type="character" w:customStyle="1" w:styleId="citation-108">
    <w:name w:val="citation-108"/>
    <w:basedOn w:val="DefaultParagraphFont"/>
    <w:rsid w:val="0046135C"/>
  </w:style>
  <w:style w:type="character" w:customStyle="1" w:styleId="citation-107">
    <w:name w:val="citation-107"/>
    <w:basedOn w:val="DefaultParagraphFont"/>
    <w:rsid w:val="0046135C"/>
  </w:style>
  <w:style w:type="character" w:customStyle="1" w:styleId="citation-106">
    <w:name w:val="citation-106"/>
    <w:basedOn w:val="DefaultParagraphFont"/>
    <w:rsid w:val="0046135C"/>
  </w:style>
  <w:style w:type="character" w:customStyle="1" w:styleId="citation-105">
    <w:name w:val="citation-105"/>
    <w:basedOn w:val="DefaultParagraphFont"/>
    <w:rsid w:val="0046135C"/>
  </w:style>
  <w:style w:type="character" w:customStyle="1" w:styleId="citation-104">
    <w:name w:val="citation-104"/>
    <w:basedOn w:val="DefaultParagraphFont"/>
    <w:rsid w:val="0046135C"/>
  </w:style>
  <w:style w:type="character" w:customStyle="1" w:styleId="citation-103">
    <w:name w:val="citation-103"/>
    <w:basedOn w:val="DefaultParagraphFont"/>
    <w:rsid w:val="0046135C"/>
  </w:style>
  <w:style w:type="character" w:customStyle="1" w:styleId="citation-102">
    <w:name w:val="citation-102"/>
    <w:basedOn w:val="DefaultParagraphFont"/>
    <w:rsid w:val="0046135C"/>
  </w:style>
  <w:style w:type="character" w:customStyle="1" w:styleId="citation-101">
    <w:name w:val="citation-101"/>
    <w:basedOn w:val="DefaultParagraphFont"/>
    <w:rsid w:val="0046135C"/>
  </w:style>
  <w:style w:type="character" w:customStyle="1" w:styleId="citation-100">
    <w:name w:val="citation-100"/>
    <w:basedOn w:val="DefaultParagraphFont"/>
    <w:rsid w:val="0046135C"/>
  </w:style>
  <w:style w:type="character" w:styleId="HTMLCode">
    <w:name w:val="HTML Code"/>
    <w:basedOn w:val="DefaultParagraphFont"/>
    <w:uiPriority w:val="99"/>
    <w:semiHidden/>
    <w:unhideWhenUsed/>
    <w:rsid w:val="00B20D9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5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DefaultParagraphFont"/>
    <w:rsid w:val="000879F5"/>
  </w:style>
  <w:style w:type="character" w:customStyle="1" w:styleId="mclose">
    <w:name w:val="mclose"/>
    <w:basedOn w:val="DefaultParagraphFont"/>
    <w:rsid w:val="0008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5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5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7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0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3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Edimaobong Udo</dc:creator>
  <cp:keywords/>
  <dc:description/>
  <cp:lastModifiedBy>Edimaobong Udo</cp:lastModifiedBy>
  <cp:revision>10</cp:revision>
  <dcterms:created xsi:type="dcterms:W3CDTF">2025-10-27T17:42:00Z</dcterms:created>
  <dcterms:modified xsi:type="dcterms:W3CDTF">2025-10-30T18:17:00Z</dcterms:modified>
</cp:coreProperties>
</file>