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6135C" w:rsidRPr="0046135C" w:rsidRDefault="0046135C" w:rsidP="0046135C">
      <w:pPr>
        <w:spacing w:before="100" w:beforeAutospacing="1" w:after="100" w:afterAutospacing="1"/>
        <w:outlineLvl w:val="1"/>
        <w:rPr>
          <w:b/>
          <w:bCs/>
          <w:color w:val="000000"/>
          <w:sz w:val="36"/>
          <w:szCs w:val="36"/>
        </w:rPr>
      </w:pPr>
      <w:r w:rsidRPr="0046135C">
        <w:rPr>
          <w:b/>
          <w:bCs/>
          <w:color w:val="000000"/>
          <w:sz w:val="36"/>
          <w:szCs w:val="36"/>
        </w:rPr>
        <w:t>TPL Hidden Engine: Fueling Community Success (Iron Viz Dashboard Storyline)</w:t>
      </w:r>
    </w:p>
    <w:p w:rsidR="0046135C" w:rsidRPr="0046135C" w:rsidRDefault="0046135C" w:rsidP="0046135C">
      <w:pPr>
        <w:spacing w:before="100" w:beforeAutospacing="1" w:after="100" w:afterAutospacing="1"/>
        <w:rPr>
          <w:color w:val="000000"/>
        </w:rPr>
      </w:pPr>
      <w:r w:rsidRPr="0046135C">
        <w:rPr>
          <w:color w:val="000000"/>
        </w:rPr>
        <w:t>This document presents the finalized one-page dashboard storyline, chart recommendations, analysis, and updated Iron Viz judging criteria assessment, incorporating the required upgrades to achieve an </w:t>
      </w:r>
      <w:r w:rsidRPr="0046135C">
        <w:rPr>
          <w:b/>
          <w:bCs/>
          <w:color w:val="000000"/>
        </w:rPr>
        <w:t>Excellent</w:t>
      </w:r>
      <w:r w:rsidRPr="0046135C">
        <w:rPr>
          <w:color w:val="000000"/>
        </w:rPr>
        <w:t> rating across all categories.</w:t>
      </w:r>
    </w:p>
    <w:p w:rsidR="0046135C" w:rsidRPr="0046135C" w:rsidRDefault="00554D15" w:rsidP="0046135C">
      <w:r w:rsidRPr="00554D15">
        <w:rPr>
          <w:noProof/>
          <w14:ligatures w14:val="standardContextual"/>
        </w:rPr>
        <w:pict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:rsidR="0046135C" w:rsidRPr="0046135C" w:rsidRDefault="0046135C" w:rsidP="0046135C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</w:rPr>
      </w:pPr>
      <w:r w:rsidRPr="0046135C">
        <w:rPr>
          <w:rFonts w:ascii="Apple Color Emoji" w:hAnsi="Apple Color Emoji" w:cs="Apple Color Emoji"/>
          <w:b/>
          <w:bCs/>
          <w:color w:val="000000"/>
          <w:sz w:val="27"/>
          <w:szCs w:val="27"/>
        </w:rPr>
        <w:t>🎨</w:t>
      </w:r>
      <w:r w:rsidRPr="0046135C">
        <w:rPr>
          <w:b/>
          <w:bCs/>
          <w:color w:val="000000"/>
          <w:sz w:val="27"/>
          <w:szCs w:val="27"/>
        </w:rPr>
        <w:t xml:space="preserve"> Design &amp; Accessibility Refinements (Upgraded </w:t>
      </w:r>
      <w:proofErr w:type="gramStart"/>
      <w:r w:rsidRPr="0046135C">
        <w:rPr>
          <w:b/>
          <w:bCs/>
          <w:color w:val="000000"/>
          <w:sz w:val="27"/>
          <w:szCs w:val="27"/>
        </w:rPr>
        <w:t>to</w:t>
      </w:r>
      <w:proofErr w:type="gramEnd"/>
      <w:r w:rsidRPr="0046135C">
        <w:rPr>
          <w:b/>
          <w:bCs/>
          <w:color w:val="000000"/>
          <w:sz w:val="27"/>
          <w:szCs w:val="27"/>
        </w:rPr>
        <w:t> Excellent)</w:t>
      </w:r>
    </w:p>
    <w:p w:rsidR="0046135C" w:rsidRPr="0046135C" w:rsidRDefault="0046135C" w:rsidP="0046135C">
      <w:pPr>
        <w:spacing w:before="100" w:beforeAutospacing="1" w:after="100" w:afterAutospacing="1"/>
        <w:rPr>
          <w:color w:val="000000"/>
        </w:rPr>
      </w:pPr>
      <w:r w:rsidRPr="0046135C">
        <w:rPr>
          <w:color w:val="000000"/>
        </w:rPr>
        <w:t>The design adheres strictly to the accessibility and aesthetic standards of Iron Viz, utilizing the Toronto Public Library's established color scheme for visual identity.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5"/>
        <w:gridCol w:w="1886"/>
        <w:gridCol w:w="5639"/>
      </w:tblGrid>
      <w:tr w:rsidR="0046135C" w:rsidRPr="0046135C" w:rsidTr="00551485">
        <w:tc>
          <w:tcPr>
            <w:tcW w:w="0" w:type="auto"/>
            <w:hideMark/>
          </w:tcPr>
          <w:p w:rsidR="0046135C" w:rsidRPr="0046135C" w:rsidRDefault="0046135C" w:rsidP="0046135C">
            <w:r w:rsidRPr="0046135C">
              <w:t>Component</w:t>
            </w:r>
          </w:p>
        </w:tc>
        <w:tc>
          <w:tcPr>
            <w:tcW w:w="0" w:type="auto"/>
            <w:hideMark/>
          </w:tcPr>
          <w:p w:rsidR="0046135C" w:rsidRPr="0046135C" w:rsidRDefault="0046135C" w:rsidP="0046135C">
            <w:r w:rsidRPr="0046135C">
              <w:t>Color Code</w:t>
            </w:r>
          </w:p>
        </w:tc>
        <w:tc>
          <w:tcPr>
            <w:tcW w:w="0" w:type="auto"/>
            <w:hideMark/>
          </w:tcPr>
          <w:p w:rsidR="0046135C" w:rsidRPr="0046135C" w:rsidRDefault="0046135C" w:rsidP="0046135C">
            <w:r w:rsidRPr="0046135C">
              <w:t>Rationale</w:t>
            </w:r>
          </w:p>
        </w:tc>
      </w:tr>
      <w:tr w:rsidR="0046135C" w:rsidRPr="0046135C" w:rsidTr="00551485">
        <w:tc>
          <w:tcPr>
            <w:tcW w:w="0" w:type="auto"/>
            <w:hideMark/>
          </w:tcPr>
          <w:p w:rsidR="0046135C" w:rsidRPr="0046135C" w:rsidRDefault="0046135C" w:rsidP="0046135C">
            <w:r w:rsidRPr="0046135C">
              <w:t>Primary (TPL Blue)</w:t>
            </w:r>
          </w:p>
        </w:tc>
        <w:tc>
          <w:tcPr>
            <w:tcW w:w="0" w:type="auto"/>
            <w:hideMark/>
          </w:tcPr>
          <w:p w:rsidR="0046135C" w:rsidRPr="0046135C" w:rsidRDefault="0046135C" w:rsidP="0046135C">
            <w:r w:rsidRPr="0046135C">
              <w:t>#0069AA</w:t>
            </w:r>
          </w:p>
        </w:tc>
        <w:tc>
          <w:tcPr>
            <w:tcW w:w="0" w:type="auto"/>
            <w:hideMark/>
          </w:tcPr>
          <w:p w:rsidR="0046135C" w:rsidRPr="0046135C" w:rsidRDefault="0046135C" w:rsidP="0046135C">
            <w:pPr>
              <w:spacing w:before="100" w:beforeAutospacing="1" w:after="100" w:afterAutospacing="1"/>
            </w:pPr>
            <w:r w:rsidRPr="0046135C">
              <w:t>Branding, Major KPIs, and Positive/Growth Metrics.</w:t>
            </w:r>
          </w:p>
        </w:tc>
      </w:tr>
      <w:tr w:rsidR="0046135C" w:rsidRPr="0046135C" w:rsidTr="00551485">
        <w:tc>
          <w:tcPr>
            <w:tcW w:w="0" w:type="auto"/>
            <w:hideMark/>
          </w:tcPr>
          <w:p w:rsidR="0046135C" w:rsidRPr="0046135C" w:rsidRDefault="0046135C" w:rsidP="0046135C">
            <w:r w:rsidRPr="0046135C">
              <w:t>Secondary (TPL Teal)</w:t>
            </w:r>
          </w:p>
        </w:tc>
        <w:tc>
          <w:tcPr>
            <w:tcW w:w="0" w:type="auto"/>
            <w:hideMark/>
          </w:tcPr>
          <w:p w:rsidR="0046135C" w:rsidRPr="0046135C" w:rsidRDefault="0046135C" w:rsidP="0046135C">
            <w:r w:rsidRPr="0046135C">
              <w:t>#00A38E</w:t>
            </w:r>
          </w:p>
        </w:tc>
        <w:tc>
          <w:tcPr>
            <w:tcW w:w="0" w:type="auto"/>
            <w:hideMark/>
          </w:tcPr>
          <w:p w:rsidR="0046135C" w:rsidRPr="0046135C" w:rsidRDefault="0046135C" w:rsidP="0046135C">
            <w:pPr>
              <w:spacing w:before="100" w:beforeAutospacing="1" w:after="100" w:afterAutospacing="1"/>
            </w:pPr>
            <w:r w:rsidRPr="0046135C">
              <w:t>Comparison metrics, contrast, and highlighting the </w:t>
            </w:r>
            <w:r w:rsidRPr="0046135C">
              <w:rPr>
                <w:b/>
                <w:bCs/>
              </w:rPr>
              <w:t>Digital</w:t>
            </w:r>
            <w:r w:rsidRPr="0046135C">
              <w:t> focus.</w:t>
            </w:r>
          </w:p>
        </w:tc>
      </w:tr>
      <w:tr w:rsidR="0046135C" w:rsidRPr="0046135C" w:rsidTr="00551485">
        <w:tc>
          <w:tcPr>
            <w:tcW w:w="0" w:type="auto"/>
            <w:hideMark/>
          </w:tcPr>
          <w:p w:rsidR="0046135C" w:rsidRPr="0046135C" w:rsidRDefault="0046135C" w:rsidP="0046135C">
            <w:r w:rsidRPr="0046135C">
              <w:t>Neutral Palette</w:t>
            </w:r>
          </w:p>
        </w:tc>
        <w:tc>
          <w:tcPr>
            <w:tcW w:w="0" w:type="auto"/>
            <w:hideMark/>
          </w:tcPr>
          <w:p w:rsidR="0046135C" w:rsidRPr="0046135C" w:rsidRDefault="0046135C" w:rsidP="0046135C">
            <w:r w:rsidRPr="0046135C">
              <w:t>#F5F5F5 / White</w:t>
            </w:r>
          </w:p>
        </w:tc>
        <w:tc>
          <w:tcPr>
            <w:tcW w:w="0" w:type="auto"/>
            <w:hideMark/>
          </w:tcPr>
          <w:p w:rsidR="0046135C" w:rsidRPr="0046135C" w:rsidRDefault="0046135C" w:rsidP="0046135C">
            <w:pPr>
              <w:spacing w:before="100" w:beforeAutospacing="1" w:after="100" w:afterAutospacing="1"/>
            </w:pPr>
            <w:r w:rsidRPr="0046135C">
              <w:t>Clean background and high text contrast for readability.</w:t>
            </w:r>
          </w:p>
        </w:tc>
      </w:tr>
      <w:tr w:rsidR="0046135C" w:rsidRPr="0046135C" w:rsidTr="00551485">
        <w:tc>
          <w:tcPr>
            <w:tcW w:w="0" w:type="auto"/>
            <w:hideMark/>
          </w:tcPr>
          <w:p w:rsidR="0046135C" w:rsidRPr="0046135C" w:rsidRDefault="0046135C" w:rsidP="0046135C">
            <w:r w:rsidRPr="0046135C">
              <w:t>Accessibility</w:t>
            </w:r>
          </w:p>
        </w:tc>
        <w:tc>
          <w:tcPr>
            <w:tcW w:w="0" w:type="auto"/>
            <w:hideMark/>
          </w:tcPr>
          <w:p w:rsidR="0046135C" w:rsidRPr="0046135C" w:rsidRDefault="0046135C" w:rsidP="0046135C">
            <w:r w:rsidRPr="0046135C">
              <w:t>≥12pt Font</w:t>
            </w:r>
          </w:p>
        </w:tc>
        <w:tc>
          <w:tcPr>
            <w:tcW w:w="0" w:type="auto"/>
            <w:hideMark/>
          </w:tcPr>
          <w:p w:rsidR="0046135C" w:rsidRPr="0046135C" w:rsidRDefault="0046135C" w:rsidP="0046135C">
            <w:pPr>
              <w:spacing w:before="100" w:beforeAutospacing="1" w:after="100" w:afterAutospacing="1"/>
            </w:pPr>
            <w:r w:rsidRPr="0046135C">
              <w:t>High-contrast (minimum 4.5:1 ratio) and readable text size across all elements.</w:t>
            </w:r>
          </w:p>
        </w:tc>
      </w:tr>
      <w:tr w:rsidR="0046135C" w:rsidRPr="0046135C" w:rsidTr="00551485">
        <w:tc>
          <w:tcPr>
            <w:tcW w:w="0" w:type="auto"/>
            <w:hideMark/>
          </w:tcPr>
          <w:p w:rsidR="0046135C" w:rsidRPr="0046135C" w:rsidRDefault="0046135C" w:rsidP="0046135C">
            <w:r w:rsidRPr="0046135C">
              <w:t>Interactivity</w:t>
            </w:r>
          </w:p>
        </w:tc>
        <w:tc>
          <w:tcPr>
            <w:tcW w:w="0" w:type="auto"/>
            <w:hideMark/>
          </w:tcPr>
          <w:p w:rsidR="0046135C" w:rsidRPr="0046135C" w:rsidRDefault="0046135C" w:rsidP="0046135C">
            <w:r w:rsidRPr="0046135C">
              <w:t>Branch Selector Filter</w:t>
            </w:r>
          </w:p>
        </w:tc>
        <w:tc>
          <w:tcPr>
            <w:tcW w:w="0" w:type="auto"/>
            <w:hideMark/>
          </w:tcPr>
          <w:p w:rsidR="0046135C" w:rsidRPr="0046135C" w:rsidRDefault="0046135C" w:rsidP="0046135C">
            <w:pPr>
              <w:spacing w:before="100" w:beforeAutospacing="1" w:after="100" w:afterAutospacing="1"/>
            </w:pPr>
            <w:r w:rsidRPr="0046135C">
              <w:t>A single multi-select filter allowing users to drill down or compare branches across all charts.</w:t>
            </w:r>
          </w:p>
        </w:tc>
      </w:tr>
      <w:tr w:rsidR="0046135C" w:rsidRPr="0046135C" w:rsidTr="00551485">
        <w:tc>
          <w:tcPr>
            <w:tcW w:w="0" w:type="auto"/>
            <w:hideMark/>
          </w:tcPr>
          <w:p w:rsidR="0046135C" w:rsidRPr="0046135C" w:rsidRDefault="0046135C" w:rsidP="0046135C">
            <w:r w:rsidRPr="0046135C">
              <w:rPr>
                <w:b/>
                <w:bCs/>
              </w:rPr>
              <w:t>New: Visual Navigation</w:t>
            </w:r>
          </w:p>
        </w:tc>
        <w:tc>
          <w:tcPr>
            <w:tcW w:w="0" w:type="auto"/>
            <w:hideMark/>
          </w:tcPr>
          <w:p w:rsidR="0046135C" w:rsidRPr="0046135C" w:rsidRDefault="0046135C" w:rsidP="0046135C">
            <w:r w:rsidRPr="0046135C">
              <w:t>Highlighted box/menu</w:t>
            </w:r>
          </w:p>
        </w:tc>
        <w:tc>
          <w:tcPr>
            <w:tcW w:w="0" w:type="auto"/>
            <w:hideMark/>
          </w:tcPr>
          <w:p w:rsidR="0046135C" w:rsidRPr="0046135C" w:rsidRDefault="0046135C" w:rsidP="0046135C">
            <w:r w:rsidRPr="0046135C">
              <w:rPr>
                <w:b/>
                <w:bCs/>
              </w:rPr>
              <w:t>A persistent visual indicator</w:t>
            </w:r>
            <w:r w:rsidRPr="0046135C">
              <w:t> to show which of the three sections (Scale, Reach, Efficiency) the user is currently viewing, reinforcing the narrative flow.</w:t>
            </w:r>
          </w:p>
        </w:tc>
      </w:tr>
      <w:tr w:rsidR="0046135C" w:rsidRPr="0046135C" w:rsidTr="00551485">
        <w:tc>
          <w:tcPr>
            <w:tcW w:w="0" w:type="auto"/>
            <w:hideMark/>
          </w:tcPr>
          <w:p w:rsidR="0046135C" w:rsidRPr="0046135C" w:rsidRDefault="0046135C" w:rsidP="0046135C">
            <w:r w:rsidRPr="0046135C">
              <w:rPr>
                <w:b/>
                <w:bCs/>
              </w:rPr>
              <w:t>New: Micro-Hub Feature</w:t>
            </w:r>
          </w:p>
        </w:tc>
        <w:tc>
          <w:tcPr>
            <w:tcW w:w="0" w:type="auto"/>
            <w:hideMark/>
          </w:tcPr>
          <w:p w:rsidR="0046135C" w:rsidRPr="0046135C" w:rsidRDefault="0046135C" w:rsidP="0046135C">
            <w:r w:rsidRPr="0046135C">
              <w:t>Dedicated Toggle/Button</w:t>
            </w:r>
          </w:p>
        </w:tc>
        <w:tc>
          <w:tcPr>
            <w:tcW w:w="0" w:type="auto"/>
            <w:hideMark/>
          </w:tcPr>
          <w:p w:rsidR="0046135C" w:rsidRPr="0046135C" w:rsidRDefault="0046135C" w:rsidP="0046135C">
            <w:r w:rsidRPr="0046135C">
              <w:rPr>
                <w:b/>
                <w:bCs/>
              </w:rPr>
              <w:t>A dedicated button</w:t>
            </w:r>
            <w:r w:rsidRPr="0046135C">
              <w:t> to instantly highlight the top-left quadrant ("Micro-Hubs") on the Scatter Plot and Choropleth Map.</w:t>
            </w:r>
          </w:p>
        </w:tc>
      </w:tr>
    </w:tbl>
    <w:p w:rsidR="0046135C" w:rsidRPr="0046135C" w:rsidRDefault="0046135C" w:rsidP="0046135C">
      <w:pPr>
        <w:rPr>
          <w:color w:val="000000"/>
        </w:rPr>
      </w:pPr>
      <w:r w:rsidRPr="0046135C">
        <w:rPr>
          <w:color w:val="000000"/>
        </w:rPr>
        <w:t>Export to Sheets</w:t>
      </w:r>
    </w:p>
    <w:p w:rsidR="0046135C" w:rsidRPr="0046135C" w:rsidRDefault="00554D15" w:rsidP="0046135C">
      <w:r w:rsidRPr="00554D15">
        <w:rPr>
          <w:noProof/>
          <w14:ligatures w14:val="standardContextual"/>
        </w:rPr>
        <w:pict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:rsidR="0046135C" w:rsidRPr="0046135C" w:rsidRDefault="0046135C" w:rsidP="0046135C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</w:rPr>
      </w:pPr>
      <w:r w:rsidRPr="0046135C">
        <w:rPr>
          <w:rFonts w:ascii="Apple Color Emoji" w:hAnsi="Apple Color Emoji" w:cs="Apple Color Emoji"/>
          <w:b/>
          <w:bCs/>
          <w:color w:val="000000"/>
          <w:sz w:val="27"/>
          <w:szCs w:val="27"/>
        </w:rPr>
        <w:t>📈</w:t>
      </w:r>
      <w:r w:rsidRPr="0046135C">
        <w:rPr>
          <w:b/>
          <w:bCs/>
          <w:color w:val="000000"/>
          <w:sz w:val="27"/>
          <w:szCs w:val="27"/>
        </w:rPr>
        <w:t xml:space="preserve"> Dashboard Storyline &amp; Chart Recommendations (Analysis Upgraded </w:t>
      </w:r>
      <w:proofErr w:type="gramStart"/>
      <w:r w:rsidRPr="0046135C">
        <w:rPr>
          <w:b/>
          <w:bCs/>
          <w:color w:val="000000"/>
          <w:sz w:val="27"/>
          <w:szCs w:val="27"/>
        </w:rPr>
        <w:t>to</w:t>
      </w:r>
      <w:proofErr w:type="gramEnd"/>
      <w:r w:rsidRPr="0046135C">
        <w:rPr>
          <w:b/>
          <w:bCs/>
          <w:color w:val="000000"/>
          <w:sz w:val="27"/>
          <w:szCs w:val="27"/>
        </w:rPr>
        <w:t> Excellent)</w:t>
      </w:r>
    </w:p>
    <w:p w:rsidR="0046135C" w:rsidRPr="0046135C" w:rsidRDefault="0046135C" w:rsidP="0046135C">
      <w:pPr>
        <w:spacing w:before="100" w:beforeAutospacing="1" w:after="100" w:afterAutospacing="1"/>
        <w:rPr>
          <w:color w:val="000000"/>
        </w:rPr>
      </w:pPr>
      <w:r w:rsidRPr="0046135C">
        <w:rPr>
          <w:color w:val="000000"/>
        </w:rPr>
        <w:t>The one-page dashboard will be structured into three logical, flowing sections: </w:t>
      </w:r>
      <w:r w:rsidRPr="0046135C">
        <w:rPr>
          <w:b/>
          <w:bCs/>
          <w:color w:val="000000"/>
        </w:rPr>
        <w:t>Scale, Reach &amp; Engagement,</w:t>
      </w:r>
      <w:r w:rsidRPr="0046135C">
        <w:rPr>
          <w:color w:val="000000"/>
        </w:rPr>
        <w:t> and </w:t>
      </w:r>
      <w:r w:rsidRPr="0046135C">
        <w:rPr>
          <w:b/>
          <w:bCs/>
          <w:color w:val="000000"/>
        </w:rPr>
        <w:t>Efficiency</w:t>
      </w:r>
      <w:r w:rsidRPr="0046135C">
        <w:rPr>
          <w:color w:val="000000"/>
        </w:rPr>
        <w:t>.</w:t>
      </w:r>
    </w:p>
    <w:p w:rsidR="0046135C" w:rsidRPr="0046135C" w:rsidRDefault="0046135C" w:rsidP="0046135C">
      <w:pPr>
        <w:spacing w:before="100" w:beforeAutospacing="1" w:after="100" w:afterAutospacing="1"/>
        <w:outlineLvl w:val="3"/>
        <w:rPr>
          <w:b/>
          <w:bCs/>
          <w:color w:val="000000"/>
        </w:rPr>
      </w:pPr>
      <w:r w:rsidRPr="0046135C">
        <w:rPr>
          <w:b/>
          <w:bCs/>
          <w:color w:val="000000"/>
        </w:rPr>
        <w:t>1. The Engine’s Scale &amp; Shift: Is TPL Still Essential?</w:t>
      </w:r>
    </w:p>
    <w:p w:rsidR="0046135C" w:rsidRPr="0046135C" w:rsidRDefault="0046135C" w:rsidP="0046135C">
      <w:pPr>
        <w:spacing w:before="100" w:beforeAutospacing="1" w:after="100" w:afterAutospacing="1"/>
        <w:rPr>
          <w:color w:val="000000"/>
        </w:rPr>
      </w:pPr>
      <w:r w:rsidRPr="0046135C">
        <w:rPr>
          <w:b/>
          <w:bCs/>
          <w:color w:val="000000"/>
        </w:rPr>
        <w:t>Goal:</w:t>
      </w:r>
      <w:r w:rsidRPr="0046135C">
        <w:rPr>
          <w:color w:val="000000"/>
        </w:rPr>
        <w:t> Establish the overall scale and the fundamental shift in how the TPL engine is operating, setting up the "Hidden Engine" narrative.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6"/>
        <w:gridCol w:w="1602"/>
        <w:gridCol w:w="6432"/>
      </w:tblGrid>
      <w:tr w:rsidR="0046135C" w:rsidRPr="0046135C" w:rsidTr="00551485">
        <w:tc>
          <w:tcPr>
            <w:tcW w:w="0" w:type="auto"/>
            <w:hideMark/>
          </w:tcPr>
          <w:p w:rsidR="0046135C" w:rsidRPr="0046135C" w:rsidRDefault="0046135C" w:rsidP="0046135C">
            <w:r w:rsidRPr="0046135C">
              <w:lastRenderedPageBreak/>
              <w:t>Chart Type</w:t>
            </w:r>
          </w:p>
        </w:tc>
        <w:tc>
          <w:tcPr>
            <w:tcW w:w="0" w:type="auto"/>
            <w:hideMark/>
          </w:tcPr>
          <w:p w:rsidR="0046135C" w:rsidRPr="0046135C" w:rsidRDefault="0046135C" w:rsidP="0046135C">
            <w:r w:rsidRPr="0046135C">
              <w:t>Data &amp; Calculation</w:t>
            </w:r>
          </w:p>
        </w:tc>
        <w:tc>
          <w:tcPr>
            <w:tcW w:w="0" w:type="auto"/>
            <w:hideMark/>
          </w:tcPr>
          <w:p w:rsidR="0046135C" w:rsidRPr="0046135C" w:rsidRDefault="0046135C" w:rsidP="0046135C">
            <w:r w:rsidRPr="0046135C">
              <w:t>Insight &amp; Rationale</w:t>
            </w:r>
          </w:p>
        </w:tc>
      </w:tr>
      <w:tr w:rsidR="0046135C" w:rsidRPr="0046135C" w:rsidTr="00551485">
        <w:tc>
          <w:tcPr>
            <w:tcW w:w="0" w:type="auto"/>
            <w:hideMark/>
          </w:tcPr>
          <w:p w:rsidR="0046135C" w:rsidRPr="0046135C" w:rsidRDefault="0046135C" w:rsidP="0046135C">
            <w:r w:rsidRPr="0046135C">
              <w:t>Header</w:t>
            </w:r>
          </w:p>
        </w:tc>
        <w:tc>
          <w:tcPr>
            <w:tcW w:w="0" w:type="auto"/>
            <w:hideMark/>
          </w:tcPr>
          <w:p w:rsidR="0046135C" w:rsidRPr="0046135C" w:rsidRDefault="0046135C" w:rsidP="0046135C">
            <w:r w:rsidRPr="0046135C">
              <w:t>KPI Cards</w:t>
            </w:r>
          </w:p>
        </w:tc>
        <w:tc>
          <w:tcPr>
            <w:tcW w:w="0" w:type="auto"/>
            <w:hideMark/>
          </w:tcPr>
          <w:p w:rsidR="0046135C" w:rsidRPr="0046135C" w:rsidRDefault="0046135C" w:rsidP="0046135C">
            <w:pPr>
              <w:spacing w:before="100" w:beforeAutospacing="1" w:after="100" w:afterAutospacing="1"/>
            </w:pPr>
            <w:r w:rsidRPr="0046135C">
              <w:t>Total </w:t>
            </w:r>
            <w:r w:rsidRPr="0046135C">
              <w:rPr>
                <w:b/>
                <w:bCs/>
              </w:rPr>
              <w:t>Annual Visits</w:t>
            </w:r>
            <w:r w:rsidRPr="0046135C">
              <w:t>, Total </w:t>
            </w:r>
            <w:r w:rsidRPr="0046135C">
              <w:rPr>
                <w:b/>
                <w:bCs/>
              </w:rPr>
              <w:t>Annual Circulation</w:t>
            </w:r>
            <w:r w:rsidRPr="0046135C">
              <w:t>, Total </w:t>
            </w:r>
            <w:r w:rsidRPr="0046135C">
              <w:rPr>
                <w:b/>
                <w:bCs/>
              </w:rPr>
              <w:t>Card Registrations</w:t>
            </w:r>
            <w:r w:rsidRPr="0046135C">
              <w:t>, with </w:t>
            </w:r>
            <w:r w:rsidRPr="0046135C">
              <w:rPr>
                <w:b/>
                <w:bCs/>
              </w:rPr>
              <w:t xml:space="preserve">YOY </w:t>
            </w:r>
            <w:proofErr w:type="gramStart"/>
            <w:r w:rsidRPr="0046135C">
              <w:rPr>
                <w:b/>
                <w:bCs/>
              </w:rPr>
              <w:t>Change</w:t>
            </w:r>
            <w:r w:rsidRPr="0046135C">
              <w:t>(</w:t>
            </w:r>
            <w:proofErr w:type="gramEnd"/>
            <w:r w:rsidRPr="0046135C">
              <w:t>201</w:t>
            </w:r>
            <w:r w:rsidR="000879F5">
              <w:t>2</w:t>
            </w:r>
            <w:r w:rsidRPr="0046135C">
              <w:t xml:space="preserve"> vs. 202</w:t>
            </w:r>
            <w:r w:rsidR="000879F5">
              <w:t>4</w:t>
            </w:r>
            <w:r w:rsidRPr="0046135C">
              <w:t>).</w:t>
            </w:r>
          </w:p>
        </w:tc>
      </w:tr>
      <w:tr w:rsidR="0046135C" w:rsidRPr="0046135C" w:rsidTr="00551485">
        <w:tc>
          <w:tcPr>
            <w:tcW w:w="0" w:type="auto"/>
            <w:hideMark/>
          </w:tcPr>
          <w:p w:rsidR="0046135C" w:rsidRPr="0046135C" w:rsidRDefault="0046135C" w:rsidP="0046135C">
            <w:r w:rsidRPr="0046135C">
              <w:t>Core Story</w:t>
            </w:r>
          </w:p>
        </w:tc>
        <w:tc>
          <w:tcPr>
            <w:tcW w:w="0" w:type="auto"/>
            <w:hideMark/>
          </w:tcPr>
          <w:p w:rsidR="0046135C" w:rsidRPr="0046135C" w:rsidRDefault="0046135C" w:rsidP="0046135C">
            <w:r w:rsidRPr="0046135C">
              <w:t>Small Multiples Line Chart</w:t>
            </w:r>
          </w:p>
        </w:tc>
        <w:tc>
          <w:tcPr>
            <w:tcW w:w="0" w:type="auto"/>
            <w:hideMark/>
          </w:tcPr>
          <w:p w:rsidR="0046135C" w:rsidRPr="0046135C" w:rsidRDefault="0046135C" w:rsidP="0046135C">
            <w:pPr>
              <w:spacing w:before="100" w:beforeAutospacing="1" w:after="100" w:afterAutospacing="1"/>
            </w:pPr>
            <w:r w:rsidRPr="0046135C">
              <w:t>Physical Circulation vs. Card Registrations Indexed to </w:t>
            </w:r>
            <w:r w:rsidRPr="0046135C">
              <w:rPr>
                <w:b/>
                <w:bCs/>
              </w:rPr>
              <w:t>100</w:t>
            </w:r>
            <w:r w:rsidRPr="0046135C">
              <w:t> (Base Year: 2015). </w:t>
            </w:r>
            <w:r w:rsidRPr="0046135C">
              <w:rPr>
                <w:b/>
                <w:bCs/>
              </w:rPr>
              <w:t>Insight:</w:t>
            </w:r>
            <w:r w:rsidR="000879F5">
              <w:rPr>
                <w:b/>
                <w:bCs/>
              </w:rPr>
              <w:t xml:space="preserve"> </w:t>
            </w:r>
            <w:r w:rsidRPr="0046135C">
              <w:t>Dramatically shows the </w:t>
            </w:r>
            <w:r w:rsidRPr="0046135C">
              <w:rPr>
                <w:b/>
                <w:bCs/>
              </w:rPr>
              <w:t>impact of recent events</w:t>
            </w:r>
            <w:r w:rsidRPr="0046135C">
              <w:t>. If registrations remain high while physical circulation drops, the engine retains users and service has moved digital (Persistent Engagement).</w:t>
            </w:r>
          </w:p>
        </w:tc>
      </w:tr>
      <w:tr w:rsidR="0046135C" w:rsidRPr="0046135C" w:rsidTr="00551485">
        <w:tc>
          <w:tcPr>
            <w:tcW w:w="0" w:type="auto"/>
            <w:hideMark/>
          </w:tcPr>
          <w:p w:rsidR="0046135C" w:rsidRPr="0046135C" w:rsidRDefault="0046135C" w:rsidP="0046135C">
            <w:r w:rsidRPr="0046135C">
              <w:rPr>
                <w:b/>
                <w:bCs/>
              </w:rPr>
              <w:t>New: Depth Analysis</w:t>
            </w:r>
          </w:p>
        </w:tc>
        <w:tc>
          <w:tcPr>
            <w:tcW w:w="0" w:type="auto"/>
            <w:hideMark/>
          </w:tcPr>
          <w:p w:rsidR="0046135C" w:rsidRPr="0046135C" w:rsidRDefault="0046135C" w:rsidP="0046135C">
            <w:r w:rsidRPr="0046135C">
              <w:t>Stacked Bar/Area Chart</w:t>
            </w:r>
          </w:p>
        </w:tc>
        <w:tc>
          <w:tcPr>
            <w:tcW w:w="0" w:type="auto"/>
            <w:hideMark/>
          </w:tcPr>
          <w:p w:rsidR="0046135C" w:rsidRPr="0046135C" w:rsidRDefault="0046135C" w:rsidP="0046135C">
            <w:r w:rsidRPr="0046135C">
              <w:rPr>
                <w:b/>
                <w:bCs/>
              </w:rPr>
              <w:t>Cardholder Engagement Profile</w:t>
            </w:r>
            <w:r w:rsidRPr="0046135C">
              <w:t> (Juvenile vs. Adult Circulation Ratio) trended over 5 years.</w:t>
            </w:r>
          </w:p>
        </w:tc>
      </w:tr>
    </w:tbl>
    <w:p w:rsidR="0046135C" w:rsidRPr="0046135C" w:rsidRDefault="0046135C" w:rsidP="0046135C">
      <w:pPr>
        <w:rPr>
          <w:color w:val="000000"/>
        </w:rPr>
      </w:pPr>
      <w:r w:rsidRPr="0046135C">
        <w:rPr>
          <w:color w:val="000000"/>
        </w:rPr>
        <w:t>Export to Sheets</w:t>
      </w:r>
    </w:p>
    <w:p w:rsidR="0046135C" w:rsidRPr="0046135C" w:rsidRDefault="0046135C" w:rsidP="0046135C">
      <w:pPr>
        <w:spacing w:before="100" w:beforeAutospacing="1" w:after="100" w:afterAutospacing="1"/>
        <w:outlineLvl w:val="3"/>
        <w:rPr>
          <w:b/>
          <w:bCs/>
          <w:color w:val="000000"/>
        </w:rPr>
      </w:pPr>
      <w:r w:rsidRPr="0046135C">
        <w:rPr>
          <w:b/>
          <w:bCs/>
          <w:color w:val="000000"/>
        </w:rPr>
        <w:t>2. Engine Reach &amp; Digital Access: Fueling Equity</w:t>
      </w:r>
    </w:p>
    <w:p w:rsidR="0046135C" w:rsidRPr="0046135C" w:rsidRDefault="0046135C" w:rsidP="0046135C">
      <w:pPr>
        <w:spacing w:before="100" w:beforeAutospacing="1" w:after="100" w:afterAutospacing="1"/>
        <w:rPr>
          <w:color w:val="000000"/>
        </w:rPr>
      </w:pPr>
      <w:r w:rsidRPr="0046135C">
        <w:rPr>
          <w:b/>
          <w:bCs/>
          <w:color w:val="000000"/>
        </w:rPr>
        <w:t>Goal:</w:t>
      </w:r>
      <w:r w:rsidRPr="0046135C">
        <w:rPr>
          <w:color w:val="000000"/>
        </w:rPr>
        <w:t> Show how the TPL engine ensures equitable community access, focusing on digital services (the often 'Hidden' part of the engine).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6"/>
        <w:gridCol w:w="1588"/>
        <w:gridCol w:w="6146"/>
      </w:tblGrid>
      <w:tr w:rsidR="0046135C" w:rsidRPr="0046135C" w:rsidTr="00551485">
        <w:tc>
          <w:tcPr>
            <w:tcW w:w="0" w:type="auto"/>
            <w:hideMark/>
          </w:tcPr>
          <w:p w:rsidR="0046135C" w:rsidRPr="0046135C" w:rsidRDefault="0046135C" w:rsidP="0046135C">
            <w:r w:rsidRPr="0046135C">
              <w:t>Chart Type</w:t>
            </w:r>
          </w:p>
        </w:tc>
        <w:tc>
          <w:tcPr>
            <w:tcW w:w="0" w:type="auto"/>
            <w:hideMark/>
          </w:tcPr>
          <w:p w:rsidR="0046135C" w:rsidRPr="0046135C" w:rsidRDefault="0046135C" w:rsidP="0046135C">
            <w:r w:rsidRPr="0046135C">
              <w:t>Data &amp; Calculation</w:t>
            </w:r>
          </w:p>
        </w:tc>
        <w:tc>
          <w:tcPr>
            <w:tcW w:w="0" w:type="auto"/>
            <w:hideMark/>
          </w:tcPr>
          <w:p w:rsidR="0046135C" w:rsidRPr="0046135C" w:rsidRDefault="0046135C" w:rsidP="0046135C">
            <w:r w:rsidRPr="0046135C">
              <w:t>Insight &amp; Rationale</w:t>
            </w:r>
          </w:p>
        </w:tc>
      </w:tr>
      <w:tr w:rsidR="0046135C" w:rsidRPr="0046135C" w:rsidTr="00551485">
        <w:tc>
          <w:tcPr>
            <w:tcW w:w="0" w:type="auto"/>
            <w:hideMark/>
          </w:tcPr>
          <w:p w:rsidR="0046135C" w:rsidRPr="0046135C" w:rsidRDefault="0046135C" w:rsidP="0046135C">
            <w:r w:rsidRPr="0046135C">
              <w:t>Digital Equity</w:t>
            </w:r>
          </w:p>
        </w:tc>
        <w:tc>
          <w:tcPr>
            <w:tcW w:w="0" w:type="auto"/>
            <w:hideMark/>
          </w:tcPr>
          <w:p w:rsidR="0046135C" w:rsidRPr="0046135C" w:rsidRDefault="0046135C" w:rsidP="0046135C">
            <w:r w:rsidRPr="0046135C">
              <w:t>Choropleth Map (Toronto)</w:t>
            </w:r>
          </w:p>
        </w:tc>
        <w:tc>
          <w:tcPr>
            <w:tcW w:w="0" w:type="auto"/>
            <w:hideMark/>
          </w:tcPr>
          <w:p w:rsidR="0046135C" w:rsidRPr="0046135C" w:rsidRDefault="0046135C" w:rsidP="0046135C">
            <w:r w:rsidRPr="0046135C">
              <w:t>Color: </w:t>
            </w:r>
            <w:r w:rsidRPr="0046135C">
              <w:rPr>
                <w:b/>
                <w:bCs/>
              </w:rPr>
              <w:t>Digital Access Reliance Index (DARI)</w:t>
            </w:r>
            <w:r w:rsidRPr="0046135C">
              <w:t>. DARI =Annual </w:t>
            </w:r>
            <w:proofErr w:type="spellStart"/>
            <w:r w:rsidRPr="0046135C">
              <w:t>VisitsAnnual</w:t>
            </w:r>
            <w:proofErr w:type="spellEnd"/>
            <w:r w:rsidRPr="0046135C">
              <w:t> Workstation Usage​×Workstation Usage.</w:t>
            </w:r>
          </w:p>
        </w:tc>
      </w:tr>
      <w:tr w:rsidR="0046135C" w:rsidRPr="0046135C" w:rsidTr="00551485">
        <w:tc>
          <w:tcPr>
            <w:tcW w:w="0" w:type="auto"/>
            <w:hideMark/>
          </w:tcPr>
          <w:p w:rsidR="0046135C" w:rsidRPr="0046135C" w:rsidRDefault="0046135C" w:rsidP="0046135C">
            <w:r w:rsidRPr="0046135C">
              <w:t>Demographics</w:t>
            </w:r>
          </w:p>
        </w:tc>
        <w:tc>
          <w:tcPr>
            <w:tcW w:w="0" w:type="auto"/>
            <w:hideMark/>
          </w:tcPr>
          <w:p w:rsidR="0046135C" w:rsidRPr="0046135C" w:rsidRDefault="0046135C" w:rsidP="0046135C">
            <w:proofErr w:type="spellStart"/>
            <w:r w:rsidRPr="0046135C">
              <w:t>Treemap</w:t>
            </w:r>
            <w:proofErr w:type="spellEnd"/>
            <w:r w:rsidRPr="0046135C">
              <w:t xml:space="preserve"> / Stacked Bar</w:t>
            </w:r>
          </w:p>
        </w:tc>
        <w:tc>
          <w:tcPr>
            <w:tcW w:w="0" w:type="auto"/>
            <w:hideMark/>
          </w:tcPr>
          <w:p w:rsidR="0046135C" w:rsidRPr="0046135C" w:rsidRDefault="0046135C" w:rsidP="0046135C">
            <w:pPr>
              <w:spacing w:before="100" w:beforeAutospacing="1" w:after="100" w:afterAutospacing="1"/>
            </w:pPr>
            <w:r w:rsidRPr="0046135C">
              <w:t>Circulation by Cardholder Status (Adult, Juvenile, Non-Resident, etc.) over 5 years.</w:t>
            </w:r>
          </w:p>
        </w:tc>
      </w:tr>
    </w:tbl>
    <w:p w:rsidR="0046135C" w:rsidRPr="0046135C" w:rsidRDefault="0046135C" w:rsidP="0046135C">
      <w:pPr>
        <w:rPr>
          <w:color w:val="000000"/>
        </w:rPr>
      </w:pPr>
      <w:r w:rsidRPr="0046135C">
        <w:rPr>
          <w:color w:val="000000"/>
        </w:rPr>
        <w:t>Export to Sheets</w:t>
      </w:r>
    </w:p>
    <w:p w:rsidR="0046135C" w:rsidRPr="0046135C" w:rsidRDefault="0046135C" w:rsidP="0046135C">
      <w:pPr>
        <w:spacing w:before="100" w:beforeAutospacing="1" w:after="100" w:afterAutospacing="1"/>
        <w:outlineLvl w:val="3"/>
        <w:rPr>
          <w:b/>
          <w:bCs/>
          <w:color w:val="000000"/>
        </w:rPr>
      </w:pPr>
      <w:r w:rsidRPr="0046135C">
        <w:rPr>
          <w:b/>
          <w:bCs/>
          <w:color w:val="000000"/>
        </w:rPr>
        <w:t>3. Engine Efficiency: Uncovering Micro-Hubs (Actionable Analysis)</w:t>
      </w:r>
    </w:p>
    <w:p w:rsidR="0046135C" w:rsidRPr="0046135C" w:rsidRDefault="0046135C" w:rsidP="0046135C">
      <w:pPr>
        <w:spacing w:before="100" w:beforeAutospacing="1" w:after="100" w:afterAutospacing="1"/>
        <w:rPr>
          <w:color w:val="000000"/>
        </w:rPr>
      </w:pPr>
      <w:r w:rsidRPr="0046135C">
        <w:rPr>
          <w:b/>
          <w:bCs/>
          <w:color w:val="000000"/>
        </w:rPr>
        <w:t>Goal:</w:t>
      </w:r>
      <w:r w:rsidRPr="0046135C">
        <w:rPr>
          <w:color w:val="000000"/>
        </w:rPr>
        <w:t> Use comparative metrics to uncover high-performing, resource-effective branches, identifying best practices for optimization.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4"/>
        <w:gridCol w:w="1527"/>
        <w:gridCol w:w="6179"/>
      </w:tblGrid>
      <w:tr w:rsidR="0046135C" w:rsidRPr="0046135C" w:rsidTr="00551485">
        <w:tc>
          <w:tcPr>
            <w:tcW w:w="0" w:type="auto"/>
            <w:hideMark/>
          </w:tcPr>
          <w:p w:rsidR="0046135C" w:rsidRPr="0046135C" w:rsidRDefault="0046135C" w:rsidP="0046135C">
            <w:r w:rsidRPr="0046135C">
              <w:t>Chart Type</w:t>
            </w:r>
          </w:p>
        </w:tc>
        <w:tc>
          <w:tcPr>
            <w:tcW w:w="0" w:type="auto"/>
            <w:hideMark/>
          </w:tcPr>
          <w:p w:rsidR="0046135C" w:rsidRPr="0046135C" w:rsidRDefault="0046135C" w:rsidP="0046135C">
            <w:r w:rsidRPr="0046135C">
              <w:t>Data &amp; Calculation</w:t>
            </w:r>
          </w:p>
        </w:tc>
        <w:tc>
          <w:tcPr>
            <w:tcW w:w="0" w:type="auto"/>
            <w:hideMark/>
          </w:tcPr>
          <w:p w:rsidR="0046135C" w:rsidRPr="0046135C" w:rsidRDefault="0046135C" w:rsidP="0046135C">
            <w:r w:rsidRPr="0046135C">
              <w:t>Core Metric</w:t>
            </w:r>
          </w:p>
        </w:tc>
      </w:tr>
      <w:tr w:rsidR="0046135C" w:rsidRPr="0046135C" w:rsidTr="00551485">
        <w:tc>
          <w:tcPr>
            <w:tcW w:w="0" w:type="auto"/>
            <w:hideMark/>
          </w:tcPr>
          <w:p w:rsidR="0046135C" w:rsidRPr="0046135C" w:rsidRDefault="0046135C" w:rsidP="0046135C">
            <w:r w:rsidRPr="0046135C">
              <w:t>Core Efficiency</w:t>
            </w:r>
          </w:p>
        </w:tc>
        <w:tc>
          <w:tcPr>
            <w:tcW w:w="0" w:type="auto"/>
            <w:hideMark/>
          </w:tcPr>
          <w:p w:rsidR="0046135C" w:rsidRPr="0046135C" w:rsidRDefault="0046135C" w:rsidP="0046135C">
            <w:r w:rsidRPr="0046135C">
              <w:t>Scatter Plot</w:t>
            </w:r>
          </w:p>
        </w:tc>
        <w:tc>
          <w:tcPr>
            <w:tcW w:w="0" w:type="auto"/>
            <w:hideMark/>
          </w:tcPr>
          <w:p w:rsidR="0046135C" w:rsidRPr="0046135C" w:rsidRDefault="0046135C" w:rsidP="0046135C">
            <w:pPr>
              <w:spacing w:before="100" w:beforeAutospacing="1" w:after="100" w:afterAutospacing="1"/>
            </w:pPr>
            <w:r w:rsidRPr="0046135C">
              <w:t>Y-Axis: </w:t>
            </w:r>
            <w:r w:rsidRPr="0046135C">
              <w:rPr>
                <w:b/>
                <w:bCs/>
              </w:rPr>
              <w:t>User Density Score</w:t>
            </w:r>
            <w:r w:rsidRPr="0046135C">
              <w:t> (Branch Square </w:t>
            </w:r>
            <w:proofErr w:type="spellStart"/>
            <w:r w:rsidRPr="0046135C">
              <w:t>FootageAnnual</w:t>
            </w:r>
            <w:proofErr w:type="spellEnd"/>
            <w:r w:rsidRPr="0046135C">
              <w:t> Visits​). X-Axis: Branch Size (Sq Ft).</w:t>
            </w:r>
          </w:p>
        </w:tc>
      </w:tr>
      <w:tr w:rsidR="0046135C" w:rsidRPr="0046135C" w:rsidTr="00551485">
        <w:tc>
          <w:tcPr>
            <w:tcW w:w="0" w:type="auto"/>
            <w:hideMark/>
          </w:tcPr>
          <w:p w:rsidR="0046135C" w:rsidRPr="0046135C" w:rsidRDefault="0046135C" w:rsidP="0046135C">
            <w:r w:rsidRPr="0046135C">
              <w:rPr>
                <w:b/>
                <w:bCs/>
              </w:rPr>
              <w:t>New: Longitudinal Analysis</w:t>
            </w:r>
          </w:p>
        </w:tc>
        <w:tc>
          <w:tcPr>
            <w:tcW w:w="0" w:type="auto"/>
            <w:hideMark/>
          </w:tcPr>
          <w:p w:rsidR="0046135C" w:rsidRPr="0046135C" w:rsidRDefault="0046135C" w:rsidP="0046135C">
            <w:r w:rsidRPr="0046135C">
              <w:t>Scatter Plot Comparison</w:t>
            </w:r>
          </w:p>
        </w:tc>
        <w:tc>
          <w:tcPr>
            <w:tcW w:w="0" w:type="auto"/>
            <w:hideMark/>
          </w:tcPr>
          <w:p w:rsidR="0046135C" w:rsidRPr="0046135C" w:rsidRDefault="0046135C" w:rsidP="0046135C">
            <w:r w:rsidRPr="0046135C">
              <w:rPr>
                <w:b/>
                <w:bCs/>
              </w:rPr>
              <w:t>201</w:t>
            </w:r>
            <w:r w:rsidR="000879F5">
              <w:rPr>
                <w:b/>
                <w:bCs/>
              </w:rPr>
              <w:t>2</w:t>
            </w:r>
            <w:r w:rsidRPr="0046135C">
              <w:rPr>
                <w:b/>
                <w:bCs/>
              </w:rPr>
              <w:t xml:space="preserve"> User Density Score</w:t>
            </w:r>
            <w:r w:rsidRPr="0046135C">
              <w:t> vs. </w:t>
            </w:r>
            <w:r w:rsidRPr="0046135C">
              <w:rPr>
                <w:b/>
                <w:bCs/>
              </w:rPr>
              <w:t>2023 User Density Score</w:t>
            </w:r>
            <w:r w:rsidRPr="0046135C">
              <w:t>.</w:t>
            </w:r>
          </w:p>
        </w:tc>
      </w:tr>
      <w:tr w:rsidR="0046135C" w:rsidRPr="0046135C" w:rsidTr="00551485">
        <w:tc>
          <w:tcPr>
            <w:tcW w:w="0" w:type="auto"/>
            <w:hideMark/>
          </w:tcPr>
          <w:p w:rsidR="0046135C" w:rsidRPr="0046135C" w:rsidRDefault="0046135C" w:rsidP="0046135C">
            <w:r w:rsidRPr="0046135C">
              <w:t>Outlier Check</w:t>
            </w:r>
          </w:p>
        </w:tc>
        <w:tc>
          <w:tcPr>
            <w:tcW w:w="0" w:type="auto"/>
            <w:hideMark/>
          </w:tcPr>
          <w:p w:rsidR="0046135C" w:rsidRPr="0046135C" w:rsidRDefault="0046135C" w:rsidP="0046135C">
            <w:r w:rsidRPr="0046135C">
              <w:t>Top 10 Busiest Branches Bar Chart</w:t>
            </w:r>
          </w:p>
        </w:tc>
        <w:tc>
          <w:tcPr>
            <w:tcW w:w="0" w:type="auto"/>
            <w:hideMark/>
          </w:tcPr>
          <w:p w:rsidR="0046135C" w:rsidRPr="0046135C" w:rsidRDefault="0046135C" w:rsidP="0046135C">
            <w:pPr>
              <w:spacing w:before="100" w:beforeAutospacing="1" w:after="100" w:afterAutospacing="1"/>
            </w:pPr>
            <w:r w:rsidRPr="0046135C">
              <w:t>Total Visits by Branch. Color: User Density Score.</w:t>
            </w:r>
          </w:p>
        </w:tc>
      </w:tr>
      <w:tr w:rsidR="0046135C" w:rsidRPr="0046135C" w:rsidTr="00551485">
        <w:tc>
          <w:tcPr>
            <w:tcW w:w="0" w:type="auto"/>
            <w:hideMark/>
          </w:tcPr>
          <w:p w:rsidR="0046135C" w:rsidRPr="0046135C" w:rsidRDefault="0046135C" w:rsidP="0046135C">
            <w:r w:rsidRPr="0046135C">
              <w:lastRenderedPageBreak/>
              <w:t>Insight</w:t>
            </w:r>
          </w:p>
        </w:tc>
        <w:tc>
          <w:tcPr>
            <w:tcW w:w="0" w:type="auto"/>
            <w:hideMark/>
          </w:tcPr>
          <w:p w:rsidR="0046135C" w:rsidRPr="0046135C" w:rsidRDefault="0046135C" w:rsidP="0046135C">
            <w:r w:rsidRPr="0046135C">
              <w:t>Operational Excellence</w:t>
            </w:r>
          </w:p>
        </w:tc>
        <w:tc>
          <w:tcPr>
            <w:tcW w:w="0" w:type="auto"/>
            <w:hideMark/>
          </w:tcPr>
          <w:p w:rsidR="0046135C" w:rsidRPr="0046135C" w:rsidRDefault="0046135C" w:rsidP="0046135C">
            <w:pPr>
              <w:spacing w:before="100" w:beforeAutospacing="1" w:after="100" w:afterAutospacing="1"/>
            </w:pPr>
            <w:r w:rsidRPr="0046135C">
              <w:t>The top-left quadrant of the Scatter Plot (High Density, Small Size) pinpoints </w:t>
            </w:r>
            <w:r w:rsidRPr="0046135C">
              <w:rPr>
                <w:b/>
                <w:bCs/>
              </w:rPr>
              <w:t>"Micro-Hubs"</w:t>
            </w:r>
            <w:r w:rsidRPr="0046135C">
              <w:t>—the most efficient branches. Comparing the 201</w:t>
            </w:r>
            <w:r w:rsidR="000879F5">
              <w:t>2</w:t>
            </w:r>
            <w:r w:rsidRPr="0046135C">
              <w:t xml:space="preserve"> vs. 2023 scores also identifies </w:t>
            </w:r>
            <w:r w:rsidRPr="0046135C">
              <w:rPr>
                <w:b/>
                <w:bCs/>
              </w:rPr>
              <w:t>Resilient Hubs</w:t>
            </w:r>
            <w:r w:rsidRPr="0046135C">
              <w:t> (those who maintained or improved density), providing the blueprint for optimizing the TPL Engine. </w:t>
            </w:r>
            <w:r w:rsidRPr="0046135C">
              <w:rPr>
                <w:b/>
                <w:bCs/>
              </w:rPr>
              <w:t>Custom Tooltips</w:t>
            </w:r>
            <w:r w:rsidRPr="0046135C">
              <w:t> will show the exact User Density Score ranking and a narrative summary ("High Efficiency Micro-Hub").</w:t>
            </w:r>
          </w:p>
        </w:tc>
      </w:tr>
    </w:tbl>
    <w:p w:rsidR="0046135C" w:rsidRPr="0046135C" w:rsidRDefault="0046135C" w:rsidP="0046135C">
      <w:pPr>
        <w:rPr>
          <w:color w:val="000000"/>
        </w:rPr>
      </w:pPr>
      <w:r w:rsidRPr="0046135C">
        <w:rPr>
          <w:color w:val="000000"/>
        </w:rPr>
        <w:t>Export to Sheets</w:t>
      </w:r>
    </w:p>
    <w:p w:rsidR="0046135C" w:rsidRPr="0046135C" w:rsidRDefault="00554D15" w:rsidP="0046135C">
      <w:r w:rsidRPr="00554D15">
        <w:rPr>
          <w:noProof/>
          <w14:ligatures w14:val="standardContextual"/>
        </w:rPr>
        <w:pict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:rsidR="0046135C" w:rsidRPr="0046135C" w:rsidRDefault="0046135C" w:rsidP="0046135C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</w:rPr>
      </w:pPr>
      <w:r w:rsidRPr="0046135C">
        <w:rPr>
          <w:rFonts w:ascii="Apple Color Emoji" w:hAnsi="Apple Color Emoji" w:cs="Apple Color Emoji"/>
          <w:b/>
          <w:bCs/>
          <w:color w:val="000000"/>
          <w:sz w:val="27"/>
          <w:szCs w:val="27"/>
        </w:rPr>
        <w:t>📚</w:t>
      </w:r>
      <w:r w:rsidRPr="0046135C">
        <w:rPr>
          <w:b/>
          <w:bCs/>
          <w:color w:val="000000"/>
          <w:sz w:val="27"/>
          <w:szCs w:val="27"/>
        </w:rPr>
        <w:t xml:space="preserve"> Executive Summary: The Hidden Engine</w:t>
      </w:r>
    </w:p>
    <w:p w:rsidR="0046135C" w:rsidRPr="0046135C" w:rsidRDefault="0046135C" w:rsidP="0046135C">
      <w:pPr>
        <w:spacing w:before="100" w:beforeAutospacing="1" w:after="100" w:afterAutospacing="1"/>
        <w:rPr>
          <w:color w:val="000000"/>
        </w:rPr>
      </w:pPr>
      <w:r w:rsidRPr="0046135C">
        <w:rPr>
          <w:color w:val="000000"/>
        </w:rPr>
        <w:t>TPL: An Engine Optimized for Access and Efficiency. The TPL data confirms its status as a resilient, essential community engine.</w:t>
      </w:r>
    </w:p>
    <w:p w:rsidR="0046135C" w:rsidRPr="0046135C" w:rsidRDefault="0046135C" w:rsidP="0046135C">
      <w:pPr>
        <w:spacing w:before="100" w:beforeAutospacing="1" w:after="100" w:afterAutospacing="1"/>
        <w:rPr>
          <w:color w:val="000000"/>
        </w:rPr>
      </w:pPr>
      <w:r w:rsidRPr="0046135C">
        <w:rPr>
          <w:color w:val="000000"/>
        </w:rPr>
        <w:t>While the clear transition away from physical-only engagement is evidenced by stable </w:t>
      </w:r>
      <w:r w:rsidRPr="0046135C">
        <w:rPr>
          <w:b/>
          <w:bCs/>
          <w:color w:val="000000"/>
        </w:rPr>
        <w:t>Card Registration</w:t>
      </w:r>
      <w:r w:rsidRPr="0046135C">
        <w:rPr>
          <w:color w:val="000000"/>
        </w:rPr>
        <w:t> numbers despite circulation shifts, the analysis provides two critical, actionable findings:</w:t>
      </w:r>
    </w:p>
    <w:p w:rsidR="0046135C" w:rsidRPr="0046135C" w:rsidRDefault="0046135C" w:rsidP="0046135C">
      <w:pPr>
        <w:numPr>
          <w:ilvl w:val="0"/>
          <w:numId w:val="1"/>
        </w:numPr>
        <w:spacing w:before="100" w:beforeAutospacing="1" w:after="100" w:afterAutospacing="1"/>
        <w:rPr>
          <w:color w:val="000000"/>
        </w:rPr>
      </w:pPr>
      <w:r w:rsidRPr="0046135C">
        <w:rPr>
          <w:b/>
          <w:bCs/>
          <w:color w:val="000000"/>
        </w:rPr>
        <w:t>Digital Access is Uneven:</w:t>
      </w:r>
      <w:r w:rsidRPr="0046135C">
        <w:rPr>
          <w:color w:val="000000"/>
        </w:rPr>
        <w:t> The </w:t>
      </w:r>
      <w:r w:rsidRPr="0046135C">
        <w:rPr>
          <w:b/>
          <w:bCs/>
          <w:color w:val="000000"/>
        </w:rPr>
        <w:t>Digital Access Reliance Index (DARI)</w:t>
      </w:r>
      <w:r w:rsidRPr="0046135C">
        <w:rPr>
          <w:color w:val="000000"/>
        </w:rPr>
        <w:t> highlights specific branches that are critical in bridging the digital divide, warranting targeted resource support.</w:t>
      </w:r>
    </w:p>
    <w:p w:rsidR="0046135C" w:rsidRPr="0046135C" w:rsidRDefault="0046135C" w:rsidP="0046135C">
      <w:pPr>
        <w:numPr>
          <w:ilvl w:val="0"/>
          <w:numId w:val="1"/>
        </w:numPr>
        <w:spacing w:before="100" w:beforeAutospacing="1" w:after="100" w:afterAutospacing="1"/>
        <w:rPr>
          <w:color w:val="000000"/>
        </w:rPr>
      </w:pPr>
      <w:r w:rsidRPr="0046135C">
        <w:rPr>
          <w:b/>
          <w:bCs/>
          <w:color w:val="000000"/>
        </w:rPr>
        <w:t>Operational Excellence Varies:</w:t>
      </w:r>
      <w:r w:rsidRPr="0046135C">
        <w:rPr>
          <w:color w:val="000000"/>
        </w:rPr>
        <w:t> The </w:t>
      </w:r>
      <w:r w:rsidRPr="0046135C">
        <w:rPr>
          <w:b/>
          <w:bCs/>
          <w:color w:val="000000"/>
        </w:rPr>
        <w:t>User Density Score</w:t>
      </w:r>
      <w:r w:rsidRPr="0046135C">
        <w:rPr>
          <w:color w:val="000000"/>
        </w:rPr>
        <w:t> effectively identifies high-performing, high-efficiency 'Micro-Hubs'. The </w:t>
      </w:r>
      <w:r w:rsidRPr="0046135C">
        <w:rPr>
          <w:b/>
          <w:bCs/>
          <w:color w:val="000000"/>
        </w:rPr>
        <w:t>longitudinal analysis (201</w:t>
      </w:r>
      <w:r w:rsidR="000879F5">
        <w:rPr>
          <w:b/>
          <w:bCs/>
          <w:color w:val="000000"/>
        </w:rPr>
        <w:t>2</w:t>
      </w:r>
      <w:r w:rsidRPr="0046135C">
        <w:rPr>
          <w:b/>
          <w:bCs/>
          <w:color w:val="000000"/>
        </w:rPr>
        <w:t xml:space="preserve"> vs. 2023)</w:t>
      </w:r>
      <w:r w:rsidRPr="0046135C">
        <w:rPr>
          <w:color w:val="000000"/>
        </w:rPr>
        <w:t> further identifies the most </w:t>
      </w:r>
      <w:r w:rsidRPr="0046135C">
        <w:rPr>
          <w:b/>
          <w:bCs/>
          <w:color w:val="000000"/>
        </w:rPr>
        <w:t>Resilient Hubs</w:t>
      </w:r>
      <w:r w:rsidRPr="0046135C">
        <w:rPr>
          <w:color w:val="000000"/>
        </w:rPr>
        <w:t>.</w:t>
      </w:r>
    </w:p>
    <w:p w:rsidR="0046135C" w:rsidRDefault="0046135C" w:rsidP="00551485">
      <w:pPr>
        <w:spacing w:before="100" w:beforeAutospacing="1" w:after="100" w:afterAutospacing="1"/>
        <w:rPr>
          <w:color w:val="000000"/>
        </w:rPr>
      </w:pPr>
      <w:r w:rsidRPr="0046135C">
        <w:rPr>
          <w:color w:val="000000"/>
        </w:rPr>
        <w:t>Adopting the operational models of these branches—delivering exceptional community value from a small physical footprint—is the blueprint for </w:t>
      </w:r>
      <w:r w:rsidRPr="0046135C">
        <w:rPr>
          <w:b/>
          <w:bCs/>
          <w:color w:val="000000"/>
        </w:rPr>
        <w:t>optimizing the entire TPL Hidden Engine</w:t>
      </w:r>
      <w:r w:rsidRPr="0046135C">
        <w:rPr>
          <w:color w:val="000000"/>
        </w:rPr>
        <w:t> for future success.</w:t>
      </w:r>
    </w:p>
    <w:p w:rsidR="000879F5" w:rsidRDefault="000879F5" w:rsidP="00551485">
      <w:pPr>
        <w:spacing w:before="100" w:beforeAutospacing="1" w:after="100" w:afterAutospacing="1"/>
        <w:rPr>
          <w:color w:val="000000"/>
        </w:rPr>
      </w:pPr>
    </w:p>
    <w:p w:rsidR="000879F5" w:rsidRDefault="000879F5" w:rsidP="000879F5">
      <w:pPr>
        <w:pStyle w:val="NormalWeb"/>
        <w:rPr>
          <w:color w:val="000000"/>
        </w:rPr>
      </w:pPr>
    </w:p>
    <w:p w:rsidR="000879F5" w:rsidRDefault="000879F5" w:rsidP="000879F5">
      <w:pPr>
        <w:pStyle w:val="NormalWeb"/>
        <w:rPr>
          <w:color w:val="000000"/>
        </w:rPr>
      </w:pPr>
    </w:p>
    <w:p w:rsidR="000879F5" w:rsidRDefault="000879F5" w:rsidP="000879F5">
      <w:pPr>
        <w:pStyle w:val="NormalWeb"/>
        <w:rPr>
          <w:color w:val="000000"/>
        </w:rPr>
      </w:pPr>
    </w:p>
    <w:p w:rsidR="000879F5" w:rsidRDefault="000879F5" w:rsidP="000879F5">
      <w:pPr>
        <w:pStyle w:val="NormalWeb"/>
        <w:rPr>
          <w:color w:val="000000"/>
        </w:rPr>
      </w:pPr>
    </w:p>
    <w:p w:rsidR="000879F5" w:rsidRDefault="000879F5" w:rsidP="000879F5">
      <w:pPr>
        <w:pStyle w:val="NormalWeb"/>
        <w:rPr>
          <w:color w:val="000000"/>
        </w:rPr>
      </w:pPr>
    </w:p>
    <w:p w:rsidR="000879F5" w:rsidRDefault="000879F5" w:rsidP="000879F5">
      <w:pPr>
        <w:pStyle w:val="NormalWeb"/>
        <w:rPr>
          <w:color w:val="000000"/>
        </w:rPr>
      </w:pPr>
    </w:p>
    <w:p w:rsidR="000879F5" w:rsidRDefault="000879F5" w:rsidP="000879F5">
      <w:pPr>
        <w:pStyle w:val="NormalWeb"/>
        <w:rPr>
          <w:color w:val="000000"/>
        </w:rPr>
      </w:pPr>
      <w:r>
        <w:rPr>
          <w:color w:val="000000"/>
        </w:rPr>
        <w:lastRenderedPageBreak/>
        <w:t>Since the goal is to show the</w:t>
      </w:r>
      <w:r>
        <w:rPr>
          <w:rStyle w:val="apple-converted-space"/>
          <w:color w:val="000000"/>
        </w:rPr>
        <w:t> </w:t>
      </w:r>
      <w:r>
        <w:rPr>
          <w:i/>
          <w:iCs/>
          <w:color w:val="000000"/>
        </w:rPr>
        <w:t>impact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of events,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the index is typically calculated at the Branch level (using a Level of Detail expression) so you can analyze individual branch trends.</w:t>
      </w:r>
    </w:p>
    <w:p w:rsidR="000879F5" w:rsidRDefault="000879F5" w:rsidP="000879F5">
      <w:pPr>
        <w:pStyle w:val="NormalWeb"/>
        <w:rPr>
          <w:color w:val="000000"/>
        </w:rPr>
      </w:pPr>
      <w:r>
        <w:rPr>
          <w:color w:val="000000"/>
        </w:rPr>
        <w:t>Here are the required Tableau Calculated Fields:</w:t>
      </w:r>
    </w:p>
    <w:p w:rsidR="000879F5" w:rsidRDefault="00554D15" w:rsidP="000879F5">
      <w:r w:rsidRPr="00554D15">
        <w:rPr>
          <w:noProof/>
          <w14:ligatures w14:val="standardContextual"/>
        </w:rPr>
        <w:pict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:rsidR="000879F5" w:rsidRDefault="000879F5" w:rsidP="000879F5">
      <w:pPr>
        <w:pStyle w:val="Heading2"/>
        <w:rPr>
          <w:color w:val="000000"/>
        </w:rPr>
      </w:pPr>
      <w:r>
        <w:rPr>
          <w:rFonts w:ascii="Apple Color Emoji" w:hAnsi="Apple Color Emoji" w:cs="Apple Color Emoji"/>
          <w:color w:val="000000"/>
        </w:rPr>
        <w:t>📈</w:t>
      </w:r>
      <w:r>
        <w:rPr>
          <w:color w:val="000000"/>
        </w:rPr>
        <w:t xml:space="preserve"> Indexed Trends (Base Year: 2015 = 100)</w:t>
      </w:r>
    </w:p>
    <w:p w:rsidR="000879F5" w:rsidRDefault="000879F5" w:rsidP="000879F5">
      <w:pPr>
        <w:pStyle w:val="NormalWeb"/>
        <w:rPr>
          <w:color w:val="000000"/>
        </w:rPr>
      </w:pPr>
      <w:r>
        <w:rPr>
          <w:color w:val="000000"/>
        </w:rPr>
        <w:t>You will need to create two main Indexed Measures,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each requiring a separate calculation to establish the</w:t>
      </w:r>
      <w:r>
        <w:rPr>
          <w:rStyle w:val="apple-converted-space"/>
          <w:color w:val="000000"/>
        </w:rPr>
        <w:t> </w:t>
      </w:r>
      <w:r>
        <w:rPr>
          <w:b/>
          <w:bCs/>
          <w:color w:val="000000"/>
        </w:rPr>
        <w:t>2015 Base Value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using a</w:t>
      </w:r>
      <w:r>
        <w:rPr>
          <w:rStyle w:val="apple-converted-space"/>
          <w:color w:val="000000"/>
        </w:rPr>
        <w:t> </w:t>
      </w:r>
      <w:r>
        <w:rPr>
          <w:b/>
          <w:bCs/>
          <w:color w:val="000000"/>
        </w:rPr>
        <w:t>Level of Detail (LOD)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expression.</w:t>
      </w:r>
    </w:p>
    <w:p w:rsidR="000879F5" w:rsidRDefault="000879F5" w:rsidP="000879F5">
      <w:pPr>
        <w:pStyle w:val="Heading3"/>
        <w:rPr>
          <w:color w:val="000000"/>
        </w:rPr>
      </w:pPr>
      <w:r>
        <w:rPr>
          <w:color w:val="000000"/>
        </w:rPr>
        <w:t>1. Circulation Index Formula</w:t>
      </w:r>
    </w:p>
    <w:p w:rsidR="000879F5" w:rsidRDefault="000879F5" w:rsidP="000879F5">
      <w:pPr>
        <w:pStyle w:val="NormalWeb"/>
        <w:rPr>
          <w:color w:val="000000"/>
        </w:rPr>
      </w:pPr>
      <w:r>
        <w:rPr>
          <w:color w:val="000000"/>
        </w:rPr>
        <w:t>This formula tracks how physical circulation has changed relative to its 2015 volume for each branch.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7"/>
        <w:gridCol w:w="6546"/>
        <w:gridCol w:w="1517"/>
      </w:tblGrid>
      <w:tr w:rsidR="000879F5" w:rsidTr="000879F5">
        <w:tc>
          <w:tcPr>
            <w:tcW w:w="0" w:type="auto"/>
            <w:hideMark/>
          </w:tcPr>
          <w:p w:rsidR="000879F5" w:rsidRDefault="000879F5">
            <w:r>
              <w:t>Tableau Calculated Field</w:t>
            </w:r>
          </w:p>
        </w:tc>
        <w:tc>
          <w:tcPr>
            <w:tcW w:w="0" w:type="auto"/>
            <w:hideMark/>
          </w:tcPr>
          <w:p w:rsidR="000879F5" w:rsidRDefault="000879F5">
            <w:r>
              <w:t>Formula</w:t>
            </w:r>
          </w:p>
        </w:tc>
        <w:tc>
          <w:tcPr>
            <w:tcW w:w="0" w:type="auto"/>
            <w:hideMark/>
          </w:tcPr>
          <w:p w:rsidR="000879F5" w:rsidRDefault="000879F5">
            <w:r>
              <w:t>Purpose</w:t>
            </w:r>
          </w:p>
        </w:tc>
      </w:tr>
      <w:tr w:rsidR="000879F5" w:rsidTr="000879F5">
        <w:tc>
          <w:tcPr>
            <w:tcW w:w="0" w:type="auto"/>
            <w:hideMark/>
          </w:tcPr>
          <w:p w:rsidR="000879F5" w:rsidRDefault="000879F5">
            <w:r>
              <w:rPr>
                <w:b/>
                <w:bCs/>
              </w:rPr>
              <w:t>Circulation (2015 Base Value)</w:t>
            </w:r>
          </w:p>
        </w:tc>
        <w:tc>
          <w:tcPr>
            <w:tcW w:w="0" w:type="auto"/>
            <w:hideMark/>
          </w:tcPr>
          <w:p w:rsidR="000879F5" w:rsidRDefault="000879F5" w:rsidP="000879F5">
            <w:r>
              <w:rPr>
                <w:rStyle w:val="mord"/>
              </w:rPr>
              <w:t>FIXED </w:t>
            </w:r>
            <w:r>
              <w:rPr>
                <w:rStyle w:val="mopen"/>
              </w:rPr>
              <w:t>[</w:t>
            </w:r>
            <w:proofErr w:type="spellStart"/>
            <w:r>
              <w:rPr>
                <w:rStyle w:val="mord"/>
              </w:rPr>
              <w:t>BranchCode</w:t>
            </w:r>
            <w:proofErr w:type="spellEnd"/>
            <w:proofErr w:type="gramStart"/>
            <w:r>
              <w:rPr>
                <w:rStyle w:val="mclose"/>
              </w:rPr>
              <w:t>]</w:t>
            </w:r>
            <w:r>
              <w:rPr>
                <w:rStyle w:val="mrel"/>
              </w:rPr>
              <w:t>:</w:t>
            </w:r>
            <w:r>
              <w:rPr>
                <w:rStyle w:val="mord"/>
              </w:rPr>
              <w:t>SUM</w:t>
            </w:r>
            <w:proofErr w:type="gramEnd"/>
            <w:r>
              <w:rPr>
                <w:rStyle w:val="mopen"/>
              </w:rPr>
              <w:t>(</w:t>
            </w:r>
            <w:r>
              <w:rPr>
                <w:rStyle w:val="mord"/>
              </w:rPr>
              <w:t>IF </w:t>
            </w:r>
            <w:r>
              <w:rPr>
                <w:rStyle w:val="mopen"/>
              </w:rPr>
              <w:t>[</w:t>
            </w:r>
            <w:r>
              <w:rPr>
                <w:rStyle w:val="mord"/>
              </w:rPr>
              <w:t>Year</w:t>
            </w:r>
            <w:r>
              <w:rPr>
                <w:rStyle w:val="mclose"/>
              </w:rPr>
              <w:t>]</w:t>
            </w:r>
            <w:r>
              <w:rPr>
                <w:rStyle w:val="mrel"/>
              </w:rPr>
              <w:t>=</w:t>
            </w:r>
            <w:r>
              <w:rPr>
                <w:rStyle w:val="mord"/>
              </w:rPr>
              <w:t>2015 THEN </w:t>
            </w:r>
            <w:r>
              <w:rPr>
                <w:rStyle w:val="mopen"/>
              </w:rPr>
              <w:t>[</w:t>
            </w:r>
            <w:r>
              <w:rPr>
                <w:rStyle w:val="mord"/>
              </w:rPr>
              <w:t>Circulation</w:t>
            </w:r>
            <w:r>
              <w:rPr>
                <w:rStyle w:val="mclose"/>
              </w:rPr>
              <w:t>]</w:t>
            </w:r>
            <w:r>
              <w:rPr>
                <w:rStyle w:val="mord"/>
              </w:rPr>
              <w:t> END</w:t>
            </w:r>
            <w:r>
              <w:rPr>
                <w:rStyle w:val="mclose"/>
              </w:rPr>
              <w:t>)</w:t>
            </w:r>
          </w:p>
        </w:tc>
        <w:tc>
          <w:tcPr>
            <w:tcW w:w="0" w:type="auto"/>
            <w:hideMark/>
          </w:tcPr>
          <w:p w:rsidR="000879F5" w:rsidRDefault="000879F5">
            <w:r>
              <w:t>Calculates and fixes the total circulation for a specific branch in the base year (2015).</w:t>
            </w:r>
          </w:p>
        </w:tc>
      </w:tr>
      <w:tr w:rsidR="000879F5" w:rsidTr="000879F5">
        <w:tc>
          <w:tcPr>
            <w:tcW w:w="0" w:type="auto"/>
            <w:hideMark/>
          </w:tcPr>
          <w:p w:rsidR="000879F5" w:rsidRDefault="000879F5">
            <w:r>
              <w:rPr>
                <w:b/>
                <w:bCs/>
              </w:rPr>
              <w:t>Physical Circulation Index (Base 100)</w:t>
            </w:r>
          </w:p>
        </w:tc>
        <w:tc>
          <w:tcPr>
            <w:tcW w:w="0" w:type="auto"/>
            <w:hideMark/>
          </w:tcPr>
          <w:p w:rsidR="000879F5" w:rsidRDefault="000879F5" w:rsidP="000879F5">
            <w:r>
              <w:rPr>
                <w:rStyle w:val="mopen"/>
              </w:rPr>
              <w:t>(</w:t>
            </w:r>
            <w:r>
              <w:rPr>
                <w:rStyle w:val="mord"/>
              </w:rPr>
              <w:t>SUM</w:t>
            </w:r>
            <w:r>
              <w:rPr>
                <w:rStyle w:val="mopen"/>
              </w:rPr>
              <w:t>([</w:t>
            </w:r>
            <w:r>
              <w:rPr>
                <w:rStyle w:val="mord"/>
              </w:rPr>
              <w:t>Circulation</w:t>
            </w:r>
            <w:r>
              <w:rPr>
                <w:rStyle w:val="mclose"/>
              </w:rPr>
              <w:t>])</w:t>
            </w:r>
            <w:proofErr w:type="gramStart"/>
            <w:r>
              <w:rPr>
                <w:rStyle w:val="mord"/>
              </w:rPr>
              <w:t>/</w:t>
            </w:r>
            <w:r>
              <w:rPr>
                <w:rStyle w:val="mopen"/>
              </w:rPr>
              <w:t>[</w:t>
            </w:r>
            <w:proofErr w:type="gramEnd"/>
            <w:r>
              <w:rPr>
                <w:rStyle w:val="mord"/>
              </w:rPr>
              <w:t>Circulation (2015 Base Value)</w:t>
            </w:r>
            <w:r>
              <w:rPr>
                <w:rStyle w:val="mclose"/>
              </w:rPr>
              <w:t>])</w:t>
            </w:r>
            <w:r>
              <w:rPr>
                <w:rStyle w:val="mbin"/>
              </w:rPr>
              <w:t>×</w:t>
            </w:r>
            <w:r>
              <w:rPr>
                <w:rStyle w:val="mord"/>
              </w:rPr>
              <w:t>100</w:t>
            </w:r>
          </w:p>
        </w:tc>
        <w:tc>
          <w:tcPr>
            <w:tcW w:w="0" w:type="auto"/>
            <w:hideMark/>
          </w:tcPr>
          <w:p w:rsidR="000879F5" w:rsidRDefault="000879F5">
            <w:r>
              <w:t>Divides the current year's circulation by the 2015 base value and multiplies by 100 to create the index.</w:t>
            </w:r>
            <w:r>
              <w:rPr>
                <w:rStyle w:val="apple-converted-space"/>
              </w:rPr>
              <w:t> </w:t>
            </w:r>
            <w:r>
              <w:rPr>
                <w:b/>
                <w:bCs/>
              </w:rPr>
              <w:t>Format this as a Number (0 Decimal Places).</w:t>
            </w:r>
          </w:p>
        </w:tc>
      </w:tr>
    </w:tbl>
    <w:p w:rsidR="000879F5" w:rsidRDefault="000879F5" w:rsidP="000879F5">
      <w:pPr>
        <w:rPr>
          <w:color w:val="000000"/>
        </w:rPr>
      </w:pPr>
      <w:r>
        <w:rPr>
          <w:rStyle w:val="export-sheets-button"/>
          <w:color w:val="000000"/>
        </w:rPr>
        <w:t>Export to Sheets</w:t>
      </w:r>
    </w:p>
    <w:p w:rsidR="000879F5" w:rsidRDefault="00554D15" w:rsidP="000879F5">
      <w:r w:rsidRPr="00554D15">
        <w:rPr>
          <w:noProof/>
          <w14:ligatures w14:val="standardContextual"/>
        </w:rPr>
        <w:pict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:rsidR="000879F5" w:rsidRDefault="000879F5" w:rsidP="000879F5">
      <w:pPr>
        <w:pStyle w:val="Heading3"/>
        <w:rPr>
          <w:color w:val="000000"/>
        </w:rPr>
      </w:pPr>
      <w:r>
        <w:rPr>
          <w:color w:val="000000"/>
        </w:rPr>
        <w:lastRenderedPageBreak/>
        <w:t>2. Card Registrations Index Formula</w:t>
      </w:r>
    </w:p>
    <w:p w:rsidR="000879F5" w:rsidRDefault="000879F5" w:rsidP="000879F5">
      <w:pPr>
        <w:pStyle w:val="NormalWeb"/>
        <w:rPr>
          <w:color w:val="000000"/>
        </w:rPr>
      </w:pPr>
      <w:r>
        <w:rPr>
          <w:color w:val="000000"/>
        </w:rPr>
        <w:t>This formula tracks how new user acquisition (registrations) has changed relative to its 2015 volume for each branch.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6"/>
        <w:gridCol w:w="6085"/>
        <w:gridCol w:w="1929"/>
      </w:tblGrid>
      <w:tr w:rsidR="000879F5" w:rsidTr="000879F5">
        <w:tc>
          <w:tcPr>
            <w:tcW w:w="0" w:type="auto"/>
            <w:hideMark/>
          </w:tcPr>
          <w:p w:rsidR="000879F5" w:rsidRDefault="000879F5">
            <w:r>
              <w:t>Tableau Calculated Field</w:t>
            </w:r>
          </w:p>
        </w:tc>
        <w:tc>
          <w:tcPr>
            <w:tcW w:w="0" w:type="auto"/>
            <w:hideMark/>
          </w:tcPr>
          <w:p w:rsidR="000879F5" w:rsidRDefault="000879F5">
            <w:r>
              <w:t>Formula</w:t>
            </w:r>
          </w:p>
        </w:tc>
        <w:tc>
          <w:tcPr>
            <w:tcW w:w="0" w:type="auto"/>
            <w:hideMark/>
          </w:tcPr>
          <w:p w:rsidR="000879F5" w:rsidRDefault="000879F5">
            <w:r>
              <w:t>Purpose</w:t>
            </w:r>
          </w:p>
        </w:tc>
      </w:tr>
      <w:tr w:rsidR="000879F5" w:rsidTr="000879F5">
        <w:tc>
          <w:tcPr>
            <w:tcW w:w="0" w:type="auto"/>
            <w:hideMark/>
          </w:tcPr>
          <w:p w:rsidR="000879F5" w:rsidRDefault="000879F5">
            <w:r>
              <w:rPr>
                <w:b/>
                <w:bCs/>
              </w:rPr>
              <w:t>Registrations (2015 Base Value)</w:t>
            </w:r>
          </w:p>
        </w:tc>
        <w:tc>
          <w:tcPr>
            <w:tcW w:w="0" w:type="auto"/>
            <w:hideMark/>
          </w:tcPr>
          <w:p w:rsidR="000879F5" w:rsidRDefault="000879F5" w:rsidP="000879F5">
            <w:r>
              <w:rPr>
                <w:rStyle w:val="mord"/>
              </w:rPr>
              <w:t>FIXED </w:t>
            </w:r>
            <w:r>
              <w:rPr>
                <w:rStyle w:val="mopen"/>
              </w:rPr>
              <w:t>[</w:t>
            </w:r>
            <w:proofErr w:type="spellStart"/>
            <w:r>
              <w:rPr>
                <w:rStyle w:val="mord"/>
              </w:rPr>
              <w:t>BranchCode</w:t>
            </w:r>
            <w:proofErr w:type="spellEnd"/>
            <w:proofErr w:type="gramStart"/>
            <w:r>
              <w:rPr>
                <w:rStyle w:val="mclose"/>
              </w:rPr>
              <w:t>]</w:t>
            </w:r>
            <w:r>
              <w:rPr>
                <w:rStyle w:val="mrel"/>
              </w:rPr>
              <w:t>:</w:t>
            </w:r>
            <w:r>
              <w:rPr>
                <w:rStyle w:val="mord"/>
              </w:rPr>
              <w:t>SUM</w:t>
            </w:r>
            <w:proofErr w:type="gramEnd"/>
            <w:r>
              <w:rPr>
                <w:rStyle w:val="mopen"/>
              </w:rPr>
              <w:t>(</w:t>
            </w:r>
            <w:r>
              <w:rPr>
                <w:rStyle w:val="mord"/>
              </w:rPr>
              <w:t>IF </w:t>
            </w:r>
            <w:r>
              <w:rPr>
                <w:rStyle w:val="mopen"/>
              </w:rPr>
              <w:t>[</w:t>
            </w:r>
            <w:r>
              <w:rPr>
                <w:rStyle w:val="mord"/>
              </w:rPr>
              <w:t>Year</w:t>
            </w:r>
            <w:r>
              <w:rPr>
                <w:rStyle w:val="mclose"/>
              </w:rPr>
              <w:t>]</w:t>
            </w:r>
            <w:r>
              <w:rPr>
                <w:rStyle w:val="mrel"/>
              </w:rPr>
              <w:t>=</w:t>
            </w:r>
            <w:r>
              <w:rPr>
                <w:rStyle w:val="mord"/>
              </w:rPr>
              <w:t>2015 THEN </w:t>
            </w:r>
            <w:r>
              <w:rPr>
                <w:rStyle w:val="mopen"/>
              </w:rPr>
              <w:t>[</w:t>
            </w:r>
            <w:r>
              <w:rPr>
                <w:rStyle w:val="mord"/>
              </w:rPr>
              <w:t>Registrations</w:t>
            </w:r>
            <w:r>
              <w:rPr>
                <w:rStyle w:val="mclose"/>
              </w:rPr>
              <w:t>]</w:t>
            </w:r>
            <w:r>
              <w:rPr>
                <w:rStyle w:val="mord"/>
              </w:rPr>
              <w:t> END</w:t>
            </w:r>
            <w:r>
              <w:rPr>
                <w:rStyle w:val="mclose"/>
              </w:rPr>
              <w:t>)</w:t>
            </w:r>
          </w:p>
        </w:tc>
        <w:tc>
          <w:tcPr>
            <w:tcW w:w="0" w:type="auto"/>
            <w:hideMark/>
          </w:tcPr>
          <w:p w:rsidR="000879F5" w:rsidRDefault="000879F5">
            <w:r>
              <w:t>Calculates and fixes the total registrations for a specific branch in the base year (2015).</w:t>
            </w:r>
          </w:p>
        </w:tc>
      </w:tr>
      <w:tr w:rsidR="000879F5" w:rsidTr="000879F5">
        <w:tc>
          <w:tcPr>
            <w:tcW w:w="0" w:type="auto"/>
            <w:hideMark/>
          </w:tcPr>
          <w:p w:rsidR="000879F5" w:rsidRDefault="000879F5">
            <w:r>
              <w:rPr>
                <w:b/>
                <w:bCs/>
              </w:rPr>
              <w:t>Card Registrations Index (Base 100)</w:t>
            </w:r>
          </w:p>
        </w:tc>
        <w:tc>
          <w:tcPr>
            <w:tcW w:w="0" w:type="auto"/>
            <w:hideMark/>
          </w:tcPr>
          <w:p w:rsidR="000879F5" w:rsidRDefault="000879F5" w:rsidP="000879F5">
            <w:r>
              <w:rPr>
                <w:rStyle w:val="mopen"/>
              </w:rPr>
              <w:t>(</w:t>
            </w:r>
            <w:r>
              <w:rPr>
                <w:rStyle w:val="mord"/>
              </w:rPr>
              <w:t>SUM</w:t>
            </w:r>
            <w:r>
              <w:rPr>
                <w:rStyle w:val="mopen"/>
              </w:rPr>
              <w:t>([</w:t>
            </w:r>
            <w:r>
              <w:rPr>
                <w:rStyle w:val="mord"/>
              </w:rPr>
              <w:t>Registrations</w:t>
            </w:r>
            <w:r>
              <w:rPr>
                <w:rStyle w:val="mclose"/>
              </w:rPr>
              <w:t>])</w:t>
            </w:r>
            <w:proofErr w:type="gramStart"/>
            <w:r>
              <w:rPr>
                <w:rStyle w:val="mord"/>
              </w:rPr>
              <w:t>/</w:t>
            </w:r>
            <w:r>
              <w:rPr>
                <w:rStyle w:val="mopen"/>
              </w:rPr>
              <w:t>[</w:t>
            </w:r>
            <w:proofErr w:type="gramEnd"/>
            <w:r>
              <w:rPr>
                <w:rStyle w:val="mord"/>
              </w:rPr>
              <w:t>Registrations (2015 Base Value)</w:t>
            </w:r>
            <w:r>
              <w:rPr>
                <w:rStyle w:val="mclose"/>
              </w:rPr>
              <w:t>])</w:t>
            </w:r>
            <w:r>
              <w:rPr>
                <w:rStyle w:val="mbin"/>
              </w:rPr>
              <w:t>×</w:t>
            </w:r>
            <w:r>
              <w:rPr>
                <w:rStyle w:val="mord"/>
              </w:rPr>
              <w:t>100</w:t>
            </w:r>
          </w:p>
        </w:tc>
        <w:tc>
          <w:tcPr>
            <w:tcW w:w="0" w:type="auto"/>
            <w:hideMark/>
          </w:tcPr>
          <w:p w:rsidR="000879F5" w:rsidRDefault="000879F5">
            <w:r>
              <w:t xml:space="preserve">Creates the index for new </w:t>
            </w:r>
            <w:proofErr w:type="spellStart"/>
            <w:r>
              <w:t>card</w:t>
            </w:r>
            <w:proofErr w:type="spellEnd"/>
            <w:r>
              <w:t xml:space="preserve"> registrations.</w:t>
            </w:r>
            <w:r>
              <w:rPr>
                <w:rStyle w:val="apple-converted-space"/>
              </w:rPr>
              <w:t> </w:t>
            </w:r>
            <w:r>
              <w:rPr>
                <w:b/>
                <w:bCs/>
              </w:rPr>
              <w:t>Format this as a Number (0 Decimal Places).</w:t>
            </w:r>
          </w:p>
        </w:tc>
      </w:tr>
    </w:tbl>
    <w:p w:rsidR="000879F5" w:rsidRDefault="000879F5" w:rsidP="000879F5">
      <w:pPr>
        <w:rPr>
          <w:color w:val="000000"/>
        </w:rPr>
      </w:pPr>
      <w:r>
        <w:rPr>
          <w:rStyle w:val="export-sheets-button"/>
          <w:color w:val="000000"/>
        </w:rPr>
        <w:t>Export to Sheets</w:t>
      </w:r>
    </w:p>
    <w:p w:rsidR="000879F5" w:rsidRDefault="00554D15" w:rsidP="000879F5">
      <w:r w:rsidRPr="00554D15">
        <w:rPr>
          <w:noProof/>
          <w14:ligatures w14:val="standardContextual"/>
        </w:rPr>
        <w:pict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:rsidR="000879F5" w:rsidRDefault="000879F5" w:rsidP="000879F5">
      <w:pPr>
        <w:pStyle w:val="Heading2"/>
        <w:rPr>
          <w:color w:val="000000"/>
        </w:rPr>
      </w:pPr>
      <w:r>
        <w:rPr>
          <w:rFonts w:ascii="Apple Color Emoji" w:hAnsi="Apple Color Emoji" w:cs="Apple Color Emoji"/>
          <w:color w:val="000000"/>
        </w:rPr>
        <w:t>📊</w:t>
      </w:r>
      <w:r>
        <w:rPr>
          <w:color w:val="000000"/>
        </w:rPr>
        <w:t xml:space="preserve"> Final Visualization</w:t>
      </w:r>
    </w:p>
    <w:p w:rsidR="000879F5" w:rsidRDefault="000879F5" w:rsidP="000879F5">
      <w:pPr>
        <w:pStyle w:val="NormalWeb"/>
        <w:rPr>
          <w:color w:val="000000"/>
        </w:rPr>
      </w:pPr>
      <w:r>
        <w:rPr>
          <w:color w:val="000000"/>
        </w:rPr>
        <w:t>To visualize the insight (</w:t>
      </w:r>
      <w:r>
        <w:rPr>
          <w:b/>
          <w:bCs/>
          <w:color w:val="000000"/>
        </w:rPr>
        <w:t>Persistent Engagement</w:t>
      </w:r>
      <w:r>
        <w:rPr>
          <w:color w:val="000000"/>
        </w:rPr>
        <w:t>):</w:t>
      </w:r>
    </w:p>
    <w:p w:rsidR="000879F5" w:rsidRDefault="000879F5" w:rsidP="000879F5">
      <w:pPr>
        <w:pStyle w:val="NormalWeb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Place</w:t>
      </w:r>
      <w:r>
        <w:rPr>
          <w:rStyle w:val="apple-converted-space"/>
          <w:color w:val="000000"/>
        </w:rPr>
        <w:t> </w:t>
      </w:r>
      <w:r>
        <w:rPr>
          <w:b/>
          <w:bCs/>
          <w:color w:val="000000"/>
        </w:rPr>
        <w:t>Year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on the</w:t>
      </w:r>
      <w:r>
        <w:rPr>
          <w:rStyle w:val="apple-converted-space"/>
          <w:color w:val="000000"/>
        </w:rPr>
        <w:t> </w:t>
      </w:r>
      <w:r>
        <w:rPr>
          <w:b/>
          <w:bCs/>
          <w:color w:val="000000"/>
        </w:rPr>
        <w:t>Columns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shelf.</w:t>
      </w:r>
    </w:p>
    <w:p w:rsidR="000879F5" w:rsidRDefault="000879F5" w:rsidP="000879F5">
      <w:pPr>
        <w:pStyle w:val="NormalWeb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Place</w:t>
      </w:r>
      <w:r>
        <w:rPr>
          <w:rStyle w:val="apple-converted-space"/>
          <w:color w:val="000000"/>
        </w:rPr>
        <w:t> </w:t>
      </w:r>
      <w:proofErr w:type="spellStart"/>
      <w:r>
        <w:rPr>
          <w:b/>
          <w:bCs/>
          <w:color w:val="000000"/>
        </w:rPr>
        <w:t>BranchCode</w:t>
      </w:r>
      <w:proofErr w:type="spellEnd"/>
      <w:r>
        <w:rPr>
          <w:rStyle w:val="apple-converted-space"/>
          <w:color w:val="000000"/>
        </w:rPr>
        <w:t> </w:t>
      </w:r>
      <w:r>
        <w:rPr>
          <w:color w:val="000000"/>
        </w:rPr>
        <w:t>on the</w:t>
      </w:r>
      <w:r>
        <w:rPr>
          <w:rStyle w:val="apple-converted-space"/>
          <w:color w:val="000000"/>
        </w:rPr>
        <w:t> </w:t>
      </w:r>
      <w:r>
        <w:rPr>
          <w:b/>
          <w:bCs/>
          <w:color w:val="000000"/>
        </w:rPr>
        <w:t>Color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or</w:t>
      </w:r>
      <w:r>
        <w:rPr>
          <w:rStyle w:val="apple-converted-space"/>
          <w:color w:val="000000"/>
        </w:rPr>
        <w:t> </w:t>
      </w:r>
      <w:r>
        <w:rPr>
          <w:b/>
          <w:bCs/>
          <w:color w:val="000000"/>
        </w:rPr>
        <w:t>Detail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shelf (if analyzing individual branches).</w:t>
      </w:r>
    </w:p>
    <w:p w:rsidR="000879F5" w:rsidRDefault="000879F5" w:rsidP="000879F5">
      <w:pPr>
        <w:pStyle w:val="NormalWeb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Drag both</w:t>
      </w:r>
      <w:r>
        <w:rPr>
          <w:rStyle w:val="apple-converted-space"/>
          <w:color w:val="000000"/>
        </w:rPr>
        <w:t> </w:t>
      </w:r>
      <w:r>
        <w:rPr>
          <w:b/>
          <w:bCs/>
          <w:color w:val="000000"/>
        </w:rPr>
        <w:t>Physical Circulation Index (Base 100)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and</w:t>
      </w:r>
      <w:r>
        <w:rPr>
          <w:rStyle w:val="apple-converted-space"/>
          <w:color w:val="000000"/>
        </w:rPr>
        <w:t> </w:t>
      </w:r>
      <w:r>
        <w:rPr>
          <w:b/>
          <w:bCs/>
          <w:color w:val="000000"/>
        </w:rPr>
        <w:t>Card Registrations Index (Base 100)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to the</w:t>
      </w:r>
      <w:r>
        <w:rPr>
          <w:rStyle w:val="apple-converted-space"/>
          <w:color w:val="000000"/>
        </w:rPr>
        <w:t> </w:t>
      </w:r>
      <w:r>
        <w:rPr>
          <w:b/>
          <w:bCs/>
          <w:color w:val="000000"/>
        </w:rPr>
        <w:t>Rows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shelf.</w:t>
      </w:r>
    </w:p>
    <w:p w:rsidR="000879F5" w:rsidRDefault="000879F5" w:rsidP="000879F5">
      <w:pPr>
        <w:pStyle w:val="NormalWeb"/>
        <w:rPr>
          <w:color w:val="000000"/>
        </w:rPr>
      </w:pPr>
      <w:r>
        <w:rPr>
          <w:color w:val="000000"/>
        </w:rPr>
        <w:t>The result will be two parallel lines for each branch.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If the</w:t>
      </w:r>
      <w:r>
        <w:rPr>
          <w:rStyle w:val="apple-converted-space"/>
          <w:color w:val="000000"/>
        </w:rPr>
        <w:t> </w:t>
      </w:r>
      <w:r>
        <w:rPr>
          <w:b/>
          <w:bCs/>
          <w:color w:val="000000"/>
        </w:rPr>
        <w:t>Circulation Index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drops below 100 (indicating less physical activity than 2015),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but the</w:t>
      </w:r>
      <w:r>
        <w:rPr>
          <w:rStyle w:val="apple-converted-space"/>
          <w:color w:val="000000"/>
        </w:rPr>
        <w:t> </w:t>
      </w:r>
      <w:r>
        <w:rPr>
          <w:b/>
          <w:bCs/>
          <w:color w:val="000000"/>
        </w:rPr>
        <w:t>Registrations Index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remains near or above 100,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the trend</w:t>
      </w:r>
    </w:p>
    <w:p w:rsidR="000879F5" w:rsidRDefault="000879F5" w:rsidP="000879F5">
      <w:pPr>
        <w:spacing w:before="100" w:beforeAutospacing="1" w:after="100" w:afterAutospacing="1"/>
        <w:outlineLvl w:val="1"/>
        <w:rPr>
          <w:rFonts w:ascii="Apple Color Emoji" w:hAnsi="Apple Color Emoji" w:cs="Apple Color Emoji"/>
          <w:b/>
          <w:bCs/>
          <w:color w:val="000000"/>
          <w:sz w:val="36"/>
          <w:szCs w:val="36"/>
        </w:rPr>
      </w:pPr>
    </w:p>
    <w:p w:rsidR="000879F5" w:rsidRPr="000879F5" w:rsidRDefault="000879F5" w:rsidP="000879F5">
      <w:pPr>
        <w:spacing w:before="100" w:beforeAutospacing="1" w:after="100" w:afterAutospacing="1"/>
        <w:outlineLvl w:val="1"/>
        <w:rPr>
          <w:b/>
          <w:bCs/>
          <w:color w:val="000000"/>
          <w:sz w:val="36"/>
          <w:szCs w:val="36"/>
        </w:rPr>
      </w:pPr>
      <w:r w:rsidRPr="000879F5">
        <w:rPr>
          <w:rFonts w:ascii="Apple Color Emoji" w:hAnsi="Apple Color Emoji" w:cs="Apple Color Emoji"/>
          <w:b/>
          <w:bCs/>
          <w:color w:val="000000"/>
          <w:sz w:val="36"/>
          <w:szCs w:val="36"/>
        </w:rPr>
        <w:t>📊</w:t>
      </w:r>
      <w:r w:rsidRPr="000879F5">
        <w:rPr>
          <w:b/>
          <w:bCs/>
          <w:color w:val="000000"/>
          <w:sz w:val="36"/>
          <w:szCs w:val="36"/>
        </w:rPr>
        <w:t xml:space="preserve"> Longitudinal Analysis (2023 vs. 2019) Template</w:t>
      </w:r>
    </w:p>
    <w:p w:rsidR="000879F5" w:rsidRPr="000879F5" w:rsidRDefault="000879F5" w:rsidP="000879F5">
      <w:pPr>
        <w:spacing w:before="100" w:beforeAutospacing="1" w:after="100" w:afterAutospacing="1"/>
        <w:rPr>
          <w:color w:val="000000"/>
        </w:rPr>
      </w:pPr>
      <w:r w:rsidRPr="000879F5">
        <w:rPr>
          <w:color w:val="000000"/>
        </w:rPr>
        <w:t>This set of calculations can be applied to any of the annual metrics (</w:t>
      </w:r>
      <w:r w:rsidRPr="000879F5">
        <w:rPr>
          <w:rFonts w:ascii="Courier New" w:hAnsi="Courier New" w:cs="Courier New"/>
          <w:color w:val="000000"/>
          <w:sz w:val="20"/>
          <w:szCs w:val="20"/>
        </w:rPr>
        <w:t>Visits</w:t>
      </w:r>
      <w:r w:rsidRPr="000879F5">
        <w:rPr>
          <w:color w:val="000000"/>
        </w:rPr>
        <w:t>, </w:t>
      </w:r>
      <w:r w:rsidRPr="000879F5">
        <w:rPr>
          <w:rFonts w:ascii="Courier New" w:hAnsi="Courier New" w:cs="Courier New"/>
          <w:color w:val="000000"/>
          <w:sz w:val="20"/>
          <w:szCs w:val="20"/>
        </w:rPr>
        <w:t>Circulation</w:t>
      </w:r>
      <w:r w:rsidRPr="000879F5">
        <w:rPr>
          <w:color w:val="000000"/>
        </w:rPr>
        <w:t>, </w:t>
      </w:r>
      <w:r w:rsidRPr="000879F5">
        <w:rPr>
          <w:rFonts w:ascii="Courier New" w:hAnsi="Courier New" w:cs="Courier New"/>
          <w:color w:val="000000"/>
          <w:sz w:val="20"/>
          <w:szCs w:val="20"/>
        </w:rPr>
        <w:t>Registrations</w:t>
      </w:r>
      <w:r w:rsidRPr="000879F5">
        <w:rPr>
          <w:color w:val="000000"/>
        </w:rPr>
        <w:t>) to perform the required 2019 vs. 2023 comparison. You only need to replace </w:t>
      </w:r>
      <w:r w:rsidRPr="000879F5">
        <w:rPr>
          <w:rFonts w:ascii="Courier New" w:hAnsi="Courier New" w:cs="Courier New"/>
          <w:color w:val="000000"/>
          <w:sz w:val="20"/>
          <w:szCs w:val="20"/>
        </w:rPr>
        <w:t>[Measure]</w:t>
      </w:r>
      <w:r w:rsidRPr="000879F5">
        <w:rPr>
          <w:color w:val="000000"/>
        </w:rPr>
        <w:t> with the corresponding field name (e.g., </w:t>
      </w:r>
      <w:r w:rsidRPr="000879F5">
        <w:rPr>
          <w:rFonts w:ascii="Courier New" w:hAnsi="Courier New" w:cs="Courier New"/>
          <w:color w:val="000000"/>
          <w:sz w:val="20"/>
          <w:szCs w:val="20"/>
        </w:rPr>
        <w:t>[Visits]</w:t>
      </w:r>
      <w:r w:rsidRPr="000879F5">
        <w:rPr>
          <w:color w:val="000000"/>
        </w:rPr>
        <w:t>, </w:t>
      </w:r>
      <w:r w:rsidRPr="000879F5">
        <w:rPr>
          <w:rFonts w:ascii="Courier New" w:hAnsi="Courier New" w:cs="Courier New"/>
          <w:color w:val="000000"/>
          <w:sz w:val="20"/>
          <w:szCs w:val="20"/>
        </w:rPr>
        <w:t>[Circulation]</w:t>
      </w:r>
      <w:r w:rsidRPr="000879F5">
        <w:rPr>
          <w:color w:val="000000"/>
        </w:rPr>
        <w:t>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7"/>
        <w:gridCol w:w="3809"/>
        <w:gridCol w:w="3544"/>
      </w:tblGrid>
      <w:tr w:rsidR="000879F5" w:rsidRPr="000879F5" w:rsidTr="000879F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879F5" w:rsidRPr="000879F5" w:rsidRDefault="000879F5" w:rsidP="000879F5">
            <w:r w:rsidRPr="000879F5">
              <w:lastRenderedPageBreak/>
              <w:t>Tableau Calculated Field</w:t>
            </w:r>
          </w:p>
        </w:tc>
        <w:tc>
          <w:tcPr>
            <w:tcW w:w="0" w:type="auto"/>
            <w:vAlign w:val="center"/>
            <w:hideMark/>
          </w:tcPr>
          <w:p w:rsidR="000879F5" w:rsidRPr="000879F5" w:rsidRDefault="000879F5" w:rsidP="000879F5">
            <w:r w:rsidRPr="000879F5">
              <w:t>Formula (for Visits)</w:t>
            </w:r>
          </w:p>
        </w:tc>
        <w:tc>
          <w:tcPr>
            <w:tcW w:w="0" w:type="auto"/>
            <w:vAlign w:val="center"/>
            <w:hideMark/>
          </w:tcPr>
          <w:p w:rsidR="000879F5" w:rsidRPr="000879F5" w:rsidRDefault="000879F5" w:rsidP="000879F5">
            <w:r w:rsidRPr="000879F5">
              <w:t>Purpose</w:t>
            </w:r>
          </w:p>
        </w:tc>
      </w:tr>
      <w:tr w:rsidR="000879F5" w:rsidRPr="000879F5" w:rsidTr="000879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79F5" w:rsidRPr="000879F5" w:rsidRDefault="000879F5" w:rsidP="000879F5">
            <w:r w:rsidRPr="000879F5">
              <w:rPr>
                <w:b/>
                <w:bCs/>
              </w:rPr>
              <w:t>Visits 2023 (LOD)</w:t>
            </w:r>
          </w:p>
        </w:tc>
        <w:tc>
          <w:tcPr>
            <w:tcW w:w="0" w:type="auto"/>
            <w:vAlign w:val="center"/>
            <w:hideMark/>
          </w:tcPr>
          <w:p w:rsidR="000879F5" w:rsidRPr="000879F5" w:rsidRDefault="000879F5" w:rsidP="000879F5">
            <w:proofErr w:type="gramStart"/>
            <w:r w:rsidRPr="000879F5">
              <w:rPr>
                <w:rFonts w:ascii="Courier New" w:hAnsi="Courier New" w:cs="Courier New"/>
                <w:sz w:val="20"/>
                <w:szCs w:val="20"/>
              </w:rPr>
              <w:t>SUM(</w:t>
            </w:r>
            <w:proofErr w:type="gramEnd"/>
            <w:r w:rsidRPr="000879F5">
              <w:rPr>
                <w:rFonts w:ascii="Courier New" w:hAnsi="Courier New" w:cs="Courier New"/>
                <w:sz w:val="20"/>
                <w:szCs w:val="20"/>
              </w:rPr>
              <w:t>IF [Year] = 2023 THEN [Visits] END)</w:t>
            </w:r>
          </w:p>
        </w:tc>
        <w:tc>
          <w:tcPr>
            <w:tcW w:w="0" w:type="auto"/>
            <w:vAlign w:val="center"/>
            <w:hideMark/>
          </w:tcPr>
          <w:p w:rsidR="000879F5" w:rsidRPr="000879F5" w:rsidRDefault="000879F5" w:rsidP="000879F5">
            <w:r w:rsidRPr="000879F5">
              <w:t>Isolates the total Visits for the latest year (2023).</w:t>
            </w:r>
          </w:p>
        </w:tc>
      </w:tr>
      <w:tr w:rsidR="000879F5" w:rsidRPr="000879F5" w:rsidTr="000879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79F5" w:rsidRPr="000879F5" w:rsidRDefault="000879F5" w:rsidP="000879F5">
            <w:r w:rsidRPr="000879F5">
              <w:rPr>
                <w:b/>
                <w:bCs/>
              </w:rPr>
              <w:t>Visits 2019 (LOD)</w:t>
            </w:r>
          </w:p>
        </w:tc>
        <w:tc>
          <w:tcPr>
            <w:tcW w:w="0" w:type="auto"/>
            <w:vAlign w:val="center"/>
            <w:hideMark/>
          </w:tcPr>
          <w:p w:rsidR="000879F5" w:rsidRPr="000879F5" w:rsidRDefault="000879F5" w:rsidP="000879F5">
            <w:proofErr w:type="gramStart"/>
            <w:r w:rsidRPr="000879F5">
              <w:rPr>
                <w:rFonts w:ascii="Courier New" w:hAnsi="Courier New" w:cs="Courier New"/>
                <w:sz w:val="20"/>
                <w:szCs w:val="20"/>
              </w:rPr>
              <w:t>SUM(</w:t>
            </w:r>
            <w:proofErr w:type="gramEnd"/>
            <w:r w:rsidRPr="000879F5">
              <w:rPr>
                <w:rFonts w:ascii="Courier New" w:hAnsi="Courier New" w:cs="Courier New"/>
                <w:sz w:val="20"/>
                <w:szCs w:val="20"/>
              </w:rPr>
              <w:t>IF [Year] = 2019 THEN [Visits] END)</w:t>
            </w:r>
          </w:p>
        </w:tc>
        <w:tc>
          <w:tcPr>
            <w:tcW w:w="0" w:type="auto"/>
            <w:vAlign w:val="center"/>
            <w:hideMark/>
          </w:tcPr>
          <w:p w:rsidR="000879F5" w:rsidRPr="000879F5" w:rsidRDefault="000879F5" w:rsidP="000879F5">
            <w:r w:rsidRPr="000879F5">
              <w:t>Isolates the total Visits for the baseline year (2019).</w:t>
            </w:r>
          </w:p>
        </w:tc>
      </w:tr>
      <w:tr w:rsidR="000879F5" w:rsidRPr="000879F5" w:rsidTr="000879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79F5" w:rsidRPr="000879F5" w:rsidRDefault="000879F5" w:rsidP="000879F5">
            <w:r w:rsidRPr="000879F5">
              <w:rPr>
                <w:b/>
                <w:bCs/>
              </w:rPr>
              <w:t>Visits Growth (2023 vs 2019) %</w:t>
            </w:r>
          </w:p>
        </w:tc>
        <w:tc>
          <w:tcPr>
            <w:tcW w:w="0" w:type="auto"/>
            <w:vAlign w:val="center"/>
            <w:hideMark/>
          </w:tcPr>
          <w:p w:rsidR="000879F5" w:rsidRPr="000879F5" w:rsidRDefault="000879F5" w:rsidP="000879F5">
            <w:r w:rsidRPr="000879F5">
              <w:rPr>
                <w:rFonts w:ascii="Courier New" w:hAnsi="Courier New" w:cs="Courier New"/>
                <w:sz w:val="20"/>
                <w:szCs w:val="20"/>
              </w:rPr>
              <w:t>([Visits 2023 (LOD)] - [Visits 2019 (LOD)]) / [Visits 2019 (LOD)]</w:t>
            </w:r>
          </w:p>
        </w:tc>
        <w:tc>
          <w:tcPr>
            <w:tcW w:w="0" w:type="auto"/>
            <w:vAlign w:val="center"/>
            <w:hideMark/>
          </w:tcPr>
          <w:p w:rsidR="000879F5" w:rsidRPr="000879F5" w:rsidRDefault="000879F5" w:rsidP="000879F5">
            <w:r w:rsidRPr="000879F5">
              <w:t>Calculates the percentage change. </w:t>
            </w:r>
            <w:r w:rsidRPr="000879F5">
              <w:rPr>
                <w:b/>
                <w:bCs/>
              </w:rPr>
              <w:t>Format this as a Percentage.</w:t>
            </w:r>
          </w:p>
        </w:tc>
      </w:tr>
    </w:tbl>
    <w:p w:rsidR="000879F5" w:rsidRPr="000879F5" w:rsidRDefault="000879F5" w:rsidP="000879F5">
      <w:pPr>
        <w:rPr>
          <w:color w:val="000000"/>
        </w:rPr>
      </w:pPr>
      <w:r w:rsidRPr="000879F5">
        <w:rPr>
          <w:color w:val="000000"/>
        </w:rPr>
        <w:t>Export to Sheets</w:t>
      </w:r>
    </w:p>
    <w:p w:rsidR="000879F5" w:rsidRPr="000879F5" w:rsidRDefault="00554D15" w:rsidP="000879F5">
      <w:r w:rsidRPr="00554D15">
        <w:rPr>
          <w:noProof/>
          <w14:ligatures w14:val="standardContextual"/>
        </w:rPr>
        <w:pict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:rsidR="000879F5" w:rsidRPr="000879F5" w:rsidRDefault="000879F5" w:rsidP="000879F5">
      <w:pPr>
        <w:spacing w:before="100" w:beforeAutospacing="1" w:after="100" w:afterAutospacing="1"/>
        <w:outlineLvl w:val="1"/>
        <w:rPr>
          <w:b/>
          <w:bCs/>
          <w:color w:val="000000"/>
          <w:sz w:val="36"/>
          <w:szCs w:val="36"/>
        </w:rPr>
      </w:pPr>
      <w:r w:rsidRPr="000879F5">
        <w:rPr>
          <w:rFonts w:ascii="Apple Color Emoji" w:hAnsi="Apple Color Emoji" w:cs="Apple Color Emoji"/>
          <w:b/>
          <w:bCs/>
          <w:color w:val="000000"/>
          <w:sz w:val="36"/>
          <w:szCs w:val="36"/>
        </w:rPr>
        <w:t>📈</w:t>
      </w:r>
      <w:r w:rsidRPr="000879F5">
        <w:rPr>
          <w:b/>
          <w:bCs/>
          <w:color w:val="000000"/>
          <w:sz w:val="36"/>
          <w:szCs w:val="36"/>
        </w:rPr>
        <w:t xml:space="preserve"> TPL Hidden Engine Core Metric Formulas</w:t>
      </w:r>
    </w:p>
    <w:p w:rsidR="000879F5" w:rsidRPr="000879F5" w:rsidRDefault="000879F5" w:rsidP="000879F5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</w:rPr>
      </w:pPr>
      <w:r w:rsidRPr="000879F5">
        <w:rPr>
          <w:b/>
          <w:bCs/>
          <w:color w:val="000000"/>
          <w:sz w:val="27"/>
          <w:szCs w:val="27"/>
        </w:rPr>
        <w:t>1. User Density Score (Longitudinal)</w:t>
      </w:r>
    </w:p>
    <w:p w:rsidR="000879F5" w:rsidRPr="000879F5" w:rsidRDefault="000879F5" w:rsidP="000879F5">
      <w:pPr>
        <w:spacing w:before="100" w:beforeAutospacing="1" w:after="100" w:afterAutospacing="1"/>
        <w:rPr>
          <w:color w:val="000000"/>
        </w:rPr>
      </w:pPr>
      <w:r w:rsidRPr="000879F5">
        <w:rPr>
          <w:color w:val="000000"/>
        </w:rPr>
        <w:t>The </w:t>
      </w:r>
      <w:r w:rsidRPr="000879F5">
        <w:rPr>
          <w:b/>
          <w:bCs/>
          <w:color w:val="000000"/>
        </w:rPr>
        <w:t>User Density Score (UDS)</w:t>
      </w:r>
      <w:r w:rsidRPr="000879F5">
        <w:rPr>
          <w:color w:val="000000"/>
        </w:rPr>
        <w:t> is a measure of branch efficiency, calculated as total annual activity (Visits + Circulation + Registrations) per square foot of the facility. The longitudinal analysis then measures the growth of this efficiency metric.</w:t>
      </w:r>
    </w:p>
    <w:p w:rsidR="000879F5" w:rsidRPr="000879F5" w:rsidRDefault="000879F5" w:rsidP="000879F5">
      <w:pPr>
        <w:spacing w:before="100" w:beforeAutospacing="1" w:after="100" w:afterAutospacing="1"/>
        <w:rPr>
          <w:color w:val="000000"/>
        </w:rPr>
      </w:pPr>
      <w:r w:rsidRPr="000879F5">
        <w:rPr>
          <w:color w:val="000000"/>
        </w:rPr>
        <w:t>This calculation requires fields from the annual activity files and the </w:t>
      </w:r>
      <w:r w:rsidRPr="000879F5">
        <w:rPr>
          <w:rFonts w:ascii="Courier New" w:hAnsi="Courier New" w:cs="Courier New"/>
          <w:color w:val="000000"/>
          <w:sz w:val="20"/>
          <w:szCs w:val="20"/>
        </w:rPr>
        <w:t>Branch General Information</w:t>
      </w:r>
      <w:r w:rsidRPr="000879F5">
        <w:rPr>
          <w:color w:val="000000"/>
        </w:rPr>
        <w:t> file (</w:t>
      </w:r>
      <w:proofErr w:type="spellStart"/>
      <w:r w:rsidRPr="000879F5">
        <w:rPr>
          <w:rFonts w:ascii="Courier New" w:hAnsi="Courier New" w:cs="Courier New"/>
          <w:color w:val="000000"/>
          <w:sz w:val="20"/>
          <w:szCs w:val="20"/>
        </w:rPr>
        <w:t>SquareFootage</w:t>
      </w:r>
      <w:proofErr w:type="spellEnd"/>
      <w:r w:rsidRPr="000879F5">
        <w:rPr>
          <w:color w:val="000000"/>
        </w:rPr>
        <w:t>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4"/>
        <w:gridCol w:w="4047"/>
        <w:gridCol w:w="3699"/>
      </w:tblGrid>
      <w:tr w:rsidR="000879F5" w:rsidRPr="000879F5" w:rsidTr="000879F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879F5" w:rsidRPr="000879F5" w:rsidRDefault="000879F5" w:rsidP="000879F5">
            <w:r w:rsidRPr="000879F5">
              <w:t>Tableau Calculated Field</w:t>
            </w:r>
          </w:p>
        </w:tc>
        <w:tc>
          <w:tcPr>
            <w:tcW w:w="0" w:type="auto"/>
            <w:vAlign w:val="center"/>
            <w:hideMark/>
          </w:tcPr>
          <w:p w:rsidR="000879F5" w:rsidRPr="000879F5" w:rsidRDefault="000879F5" w:rsidP="000879F5">
            <w:r w:rsidRPr="000879F5">
              <w:t>Formula</w:t>
            </w:r>
          </w:p>
        </w:tc>
        <w:tc>
          <w:tcPr>
            <w:tcW w:w="0" w:type="auto"/>
            <w:vAlign w:val="center"/>
            <w:hideMark/>
          </w:tcPr>
          <w:p w:rsidR="000879F5" w:rsidRPr="000879F5" w:rsidRDefault="000879F5" w:rsidP="000879F5">
            <w:r w:rsidRPr="000879F5">
              <w:t>Purpose</w:t>
            </w:r>
          </w:p>
        </w:tc>
      </w:tr>
      <w:tr w:rsidR="000879F5" w:rsidRPr="000879F5" w:rsidTr="000879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79F5" w:rsidRPr="000879F5" w:rsidRDefault="000879F5" w:rsidP="000879F5">
            <w:r w:rsidRPr="000879F5">
              <w:rPr>
                <w:b/>
                <w:bCs/>
              </w:rPr>
              <w:t>Total Activity 2023</w:t>
            </w:r>
          </w:p>
        </w:tc>
        <w:tc>
          <w:tcPr>
            <w:tcW w:w="0" w:type="auto"/>
            <w:vAlign w:val="center"/>
            <w:hideMark/>
          </w:tcPr>
          <w:p w:rsidR="000879F5" w:rsidRPr="000879F5" w:rsidRDefault="000879F5" w:rsidP="000879F5">
            <w:r w:rsidRPr="000879F5">
              <w:rPr>
                <w:rFonts w:ascii="Courier New" w:hAnsi="Courier New" w:cs="Courier New"/>
                <w:sz w:val="20"/>
                <w:szCs w:val="20"/>
              </w:rPr>
              <w:t>[Visits 2023 (LOD)] + [Circulation 2023 (LOD)] + [Registrations 2023 (LOD)]</w:t>
            </w:r>
          </w:p>
        </w:tc>
        <w:tc>
          <w:tcPr>
            <w:tcW w:w="0" w:type="auto"/>
            <w:vAlign w:val="center"/>
            <w:hideMark/>
          </w:tcPr>
          <w:p w:rsidR="000879F5" w:rsidRPr="000879F5" w:rsidRDefault="000879F5" w:rsidP="000879F5">
            <w:r w:rsidRPr="000879F5">
              <w:t>Combines all major activity metrics for 2023.</w:t>
            </w:r>
          </w:p>
        </w:tc>
      </w:tr>
      <w:tr w:rsidR="000879F5" w:rsidRPr="000879F5" w:rsidTr="000879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79F5" w:rsidRPr="000879F5" w:rsidRDefault="000879F5" w:rsidP="000879F5">
            <w:r w:rsidRPr="000879F5">
              <w:rPr>
                <w:b/>
                <w:bCs/>
              </w:rPr>
              <w:t>UDS 2023</w:t>
            </w:r>
          </w:p>
        </w:tc>
        <w:tc>
          <w:tcPr>
            <w:tcW w:w="0" w:type="auto"/>
            <w:vAlign w:val="center"/>
            <w:hideMark/>
          </w:tcPr>
          <w:p w:rsidR="000879F5" w:rsidRPr="000879F5" w:rsidRDefault="000879F5" w:rsidP="000879F5">
            <w:r w:rsidRPr="000879F5">
              <w:rPr>
                <w:rFonts w:ascii="Courier New" w:hAnsi="Courier New" w:cs="Courier New"/>
                <w:sz w:val="20"/>
                <w:szCs w:val="20"/>
              </w:rPr>
              <w:t>[Total Activity 2023] / AVG([</w:t>
            </w:r>
            <w:proofErr w:type="spellStart"/>
            <w:r w:rsidRPr="000879F5">
              <w:rPr>
                <w:rFonts w:ascii="Courier New" w:hAnsi="Courier New" w:cs="Courier New"/>
                <w:sz w:val="20"/>
                <w:szCs w:val="20"/>
              </w:rPr>
              <w:t>SquareFootage</w:t>
            </w:r>
            <w:proofErr w:type="spellEnd"/>
            <w:r w:rsidRPr="000879F5">
              <w:rPr>
                <w:rFonts w:ascii="Courier New" w:hAnsi="Courier New" w:cs="Courier New"/>
                <w:sz w:val="20"/>
                <w:szCs w:val="20"/>
              </w:rPr>
              <w:t>])</w:t>
            </w:r>
          </w:p>
        </w:tc>
        <w:tc>
          <w:tcPr>
            <w:tcW w:w="0" w:type="auto"/>
            <w:vAlign w:val="center"/>
            <w:hideMark/>
          </w:tcPr>
          <w:p w:rsidR="000879F5" w:rsidRPr="000879F5" w:rsidRDefault="000879F5" w:rsidP="000879F5">
            <w:r w:rsidRPr="000879F5">
              <w:t>Calculates the UDS for 2023.</w:t>
            </w:r>
          </w:p>
        </w:tc>
      </w:tr>
      <w:tr w:rsidR="000879F5" w:rsidRPr="000879F5" w:rsidTr="000879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79F5" w:rsidRPr="000879F5" w:rsidRDefault="000879F5" w:rsidP="000879F5">
            <w:r w:rsidRPr="000879F5">
              <w:rPr>
                <w:b/>
                <w:bCs/>
              </w:rPr>
              <w:t>UDS 2019</w:t>
            </w:r>
          </w:p>
        </w:tc>
        <w:tc>
          <w:tcPr>
            <w:tcW w:w="0" w:type="auto"/>
            <w:vAlign w:val="center"/>
            <w:hideMark/>
          </w:tcPr>
          <w:p w:rsidR="000879F5" w:rsidRPr="000879F5" w:rsidRDefault="000879F5" w:rsidP="000879F5">
            <w:r w:rsidRPr="000879F5">
              <w:rPr>
                <w:rFonts w:ascii="Courier New" w:hAnsi="Courier New" w:cs="Courier New"/>
                <w:sz w:val="20"/>
                <w:szCs w:val="20"/>
              </w:rPr>
              <w:t>[Total Activity 2019] / AVG([</w:t>
            </w:r>
            <w:proofErr w:type="spellStart"/>
            <w:r w:rsidRPr="000879F5">
              <w:rPr>
                <w:rFonts w:ascii="Courier New" w:hAnsi="Courier New" w:cs="Courier New"/>
                <w:sz w:val="20"/>
                <w:szCs w:val="20"/>
              </w:rPr>
              <w:t>SquareFootage</w:t>
            </w:r>
            <w:proofErr w:type="spellEnd"/>
            <w:r w:rsidRPr="000879F5">
              <w:rPr>
                <w:rFonts w:ascii="Courier New" w:hAnsi="Courier New" w:cs="Courier New"/>
                <w:sz w:val="20"/>
                <w:szCs w:val="20"/>
              </w:rPr>
              <w:t>])</w:t>
            </w:r>
          </w:p>
        </w:tc>
        <w:tc>
          <w:tcPr>
            <w:tcW w:w="0" w:type="auto"/>
            <w:vAlign w:val="center"/>
            <w:hideMark/>
          </w:tcPr>
          <w:p w:rsidR="000879F5" w:rsidRPr="000879F5" w:rsidRDefault="000879F5" w:rsidP="000879F5">
            <w:r w:rsidRPr="000879F5">
              <w:t>Calculates the UDS for 2019 (using the respective 2019 Total Activity formula).</w:t>
            </w:r>
          </w:p>
        </w:tc>
      </w:tr>
      <w:tr w:rsidR="000879F5" w:rsidRPr="000879F5" w:rsidTr="000879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79F5" w:rsidRPr="000879F5" w:rsidRDefault="000879F5" w:rsidP="000879F5">
            <w:r w:rsidRPr="000879F5">
              <w:rPr>
                <w:b/>
                <w:bCs/>
              </w:rPr>
              <w:t>UDS Growth (2023 vs 2019) %</w:t>
            </w:r>
          </w:p>
        </w:tc>
        <w:tc>
          <w:tcPr>
            <w:tcW w:w="0" w:type="auto"/>
            <w:vAlign w:val="center"/>
            <w:hideMark/>
          </w:tcPr>
          <w:p w:rsidR="000879F5" w:rsidRPr="000879F5" w:rsidRDefault="000879F5" w:rsidP="000879F5">
            <w:r w:rsidRPr="000879F5">
              <w:rPr>
                <w:rFonts w:ascii="Courier New" w:hAnsi="Courier New" w:cs="Courier New"/>
                <w:sz w:val="20"/>
                <w:szCs w:val="20"/>
              </w:rPr>
              <w:t>([UDS 2023] - [UDS 2019]) / [UDS 2019]</w:t>
            </w:r>
          </w:p>
        </w:tc>
        <w:tc>
          <w:tcPr>
            <w:tcW w:w="0" w:type="auto"/>
            <w:vAlign w:val="center"/>
            <w:hideMark/>
          </w:tcPr>
          <w:p w:rsidR="000879F5" w:rsidRPr="000879F5" w:rsidRDefault="000879F5" w:rsidP="000879F5">
            <w:r w:rsidRPr="000879F5">
              <w:t>Identifies </w:t>
            </w:r>
            <w:r w:rsidRPr="000879F5">
              <w:rPr>
                <w:b/>
                <w:bCs/>
              </w:rPr>
              <w:t>Resilient Hubs</w:t>
            </w:r>
            <w:r w:rsidRPr="000879F5">
              <w:t> by showing the branch's efficiency growth. </w:t>
            </w:r>
            <w:r w:rsidRPr="000879F5">
              <w:rPr>
                <w:b/>
                <w:bCs/>
              </w:rPr>
              <w:t>Format as a Percentage.</w:t>
            </w:r>
          </w:p>
        </w:tc>
      </w:tr>
    </w:tbl>
    <w:p w:rsidR="000879F5" w:rsidRPr="000879F5" w:rsidRDefault="000879F5" w:rsidP="000879F5">
      <w:pPr>
        <w:rPr>
          <w:color w:val="000000"/>
        </w:rPr>
      </w:pPr>
      <w:r w:rsidRPr="000879F5">
        <w:rPr>
          <w:color w:val="000000"/>
        </w:rPr>
        <w:t>Export to Sheets</w:t>
      </w:r>
    </w:p>
    <w:p w:rsidR="000879F5" w:rsidRPr="000879F5" w:rsidRDefault="00554D15" w:rsidP="000879F5">
      <w:r w:rsidRPr="00554D15">
        <w:rPr>
          <w:noProof/>
          <w14:ligatures w14:val="standardContextual"/>
        </w:rPr>
        <w:pict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:rsidR="000879F5" w:rsidRPr="000879F5" w:rsidRDefault="000879F5" w:rsidP="000879F5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</w:rPr>
      </w:pPr>
      <w:r w:rsidRPr="000879F5">
        <w:rPr>
          <w:b/>
          <w:bCs/>
          <w:color w:val="000000"/>
          <w:sz w:val="27"/>
          <w:szCs w:val="27"/>
        </w:rPr>
        <w:t>2. Digital Access Reliance Index (DARI)</w:t>
      </w:r>
    </w:p>
    <w:p w:rsidR="000879F5" w:rsidRPr="000879F5" w:rsidRDefault="000879F5" w:rsidP="000879F5">
      <w:pPr>
        <w:spacing w:before="100" w:beforeAutospacing="1" w:after="100" w:afterAutospacing="1"/>
        <w:rPr>
          <w:color w:val="000000"/>
        </w:rPr>
      </w:pPr>
      <w:r w:rsidRPr="000879F5">
        <w:rPr>
          <w:color w:val="000000"/>
        </w:rPr>
        <w:lastRenderedPageBreak/>
        <w:t>The </w:t>
      </w:r>
      <w:r w:rsidRPr="000879F5">
        <w:rPr>
          <w:b/>
          <w:bCs/>
          <w:color w:val="000000"/>
        </w:rPr>
        <w:t>Digital Access Reliance Index (DARI)</w:t>
      </w:r>
      <w:r w:rsidRPr="000879F5">
        <w:rPr>
          <w:color w:val="000000"/>
        </w:rPr>
        <w:t> is a proxy for how reliant the community is on the branch's digital resources (Workstations), calculated as the ratio of Workstation Sessions to Physical Visits. High DARI values would flag a </w:t>
      </w:r>
      <w:r w:rsidRPr="000879F5">
        <w:rPr>
          <w:b/>
          <w:bCs/>
          <w:color w:val="000000"/>
        </w:rPr>
        <w:t>Digital Divide Hub</w:t>
      </w:r>
      <w:r w:rsidRPr="000879F5">
        <w:rPr>
          <w:color w:val="000000"/>
        </w:rPr>
        <w:t>.</w:t>
      </w:r>
    </w:p>
    <w:p w:rsidR="000879F5" w:rsidRPr="000879F5" w:rsidRDefault="000879F5" w:rsidP="000879F5">
      <w:pPr>
        <w:spacing w:before="100" w:beforeAutospacing="1" w:after="100" w:afterAutospacing="1"/>
        <w:rPr>
          <w:color w:val="000000"/>
        </w:rPr>
      </w:pPr>
      <w:r w:rsidRPr="000879F5">
        <w:rPr>
          <w:color w:val="000000"/>
        </w:rPr>
        <w:t>This calculation uses the </w:t>
      </w:r>
      <w:r w:rsidRPr="000879F5">
        <w:rPr>
          <w:rFonts w:ascii="Courier New" w:hAnsi="Courier New" w:cs="Courier New"/>
          <w:color w:val="000000"/>
          <w:sz w:val="20"/>
          <w:szCs w:val="20"/>
        </w:rPr>
        <w:t>tpl-workstation-usage-annual-by.csv</w:t>
      </w:r>
      <w:r w:rsidRPr="000879F5">
        <w:rPr>
          <w:color w:val="000000"/>
        </w:rPr>
        <w:t> (</w:t>
      </w:r>
      <w:r w:rsidRPr="000879F5">
        <w:rPr>
          <w:rFonts w:ascii="Courier New" w:hAnsi="Courier New" w:cs="Courier New"/>
          <w:color w:val="000000"/>
          <w:sz w:val="20"/>
          <w:szCs w:val="20"/>
        </w:rPr>
        <w:t>Sessions</w:t>
      </w:r>
      <w:r w:rsidRPr="000879F5">
        <w:rPr>
          <w:color w:val="000000"/>
        </w:rPr>
        <w:t>) and </w:t>
      </w:r>
      <w:r w:rsidRPr="000879F5">
        <w:rPr>
          <w:rFonts w:ascii="Courier New" w:hAnsi="Courier New" w:cs="Courier New"/>
          <w:color w:val="000000"/>
          <w:sz w:val="20"/>
          <w:szCs w:val="20"/>
        </w:rPr>
        <w:t>tpl-visits-annual-by-branch.csv</w:t>
      </w:r>
      <w:r w:rsidRPr="000879F5">
        <w:rPr>
          <w:color w:val="000000"/>
        </w:rPr>
        <w:t> (</w:t>
      </w:r>
      <w:r w:rsidRPr="000879F5">
        <w:rPr>
          <w:rFonts w:ascii="Courier New" w:hAnsi="Courier New" w:cs="Courier New"/>
          <w:color w:val="000000"/>
          <w:sz w:val="20"/>
          <w:szCs w:val="20"/>
        </w:rPr>
        <w:t>Visits</w:t>
      </w:r>
      <w:r w:rsidRPr="000879F5">
        <w:rPr>
          <w:color w:val="000000"/>
        </w:rPr>
        <w:t>) files.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9"/>
        <w:gridCol w:w="3537"/>
        <w:gridCol w:w="3674"/>
      </w:tblGrid>
      <w:tr w:rsidR="000879F5" w:rsidRPr="000879F5" w:rsidTr="000879F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879F5" w:rsidRPr="000879F5" w:rsidRDefault="000879F5" w:rsidP="000879F5">
            <w:r w:rsidRPr="000879F5">
              <w:t>Tableau Calculated Field</w:t>
            </w:r>
          </w:p>
        </w:tc>
        <w:tc>
          <w:tcPr>
            <w:tcW w:w="0" w:type="auto"/>
            <w:vAlign w:val="center"/>
            <w:hideMark/>
          </w:tcPr>
          <w:p w:rsidR="000879F5" w:rsidRPr="000879F5" w:rsidRDefault="000879F5" w:rsidP="000879F5">
            <w:r w:rsidRPr="000879F5">
              <w:t>Formula</w:t>
            </w:r>
          </w:p>
        </w:tc>
        <w:tc>
          <w:tcPr>
            <w:tcW w:w="0" w:type="auto"/>
            <w:vAlign w:val="center"/>
            <w:hideMark/>
          </w:tcPr>
          <w:p w:rsidR="000879F5" w:rsidRPr="000879F5" w:rsidRDefault="000879F5" w:rsidP="000879F5">
            <w:r w:rsidRPr="000879F5">
              <w:t>Purpose</w:t>
            </w:r>
          </w:p>
        </w:tc>
      </w:tr>
      <w:tr w:rsidR="000879F5" w:rsidRPr="000879F5" w:rsidTr="000879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79F5" w:rsidRPr="000879F5" w:rsidRDefault="000879F5" w:rsidP="000879F5">
            <w:r w:rsidRPr="000879F5">
              <w:rPr>
                <w:b/>
                <w:bCs/>
              </w:rPr>
              <w:t>Digital Access Reliance Index (DARI)</w:t>
            </w:r>
          </w:p>
        </w:tc>
        <w:tc>
          <w:tcPr>
            <w:tcW w:w="0" w:type="auto"/>
            <w:vAlign w:val="center"/>
            <w:hideMark/>
          </w:tcPr>
          <w:p w:rsidR="000879F5" w:rsidRPr="000879F5" w:rsidRDefault="000879F5" w:rsidP="000879F5">
            <w:proofErr w:type="gramStart"/>
            <w:r w:rsidRPr="000879F5">
              <w:rPr>
                <w:rFonts w:ascii="Courier New" w:hAnsi="Courier New" w:cs="Courier New"/>
                <w:sz w:val="20"/>
                <w:szCs w:val="20"/>
              </w:rPr>
              <w:t>SUM(</w:t>
            </w:r>
            <w:proofErr w:type="gramEnd"/>
            <w:r w:rsidRPr="000879F5">
              <w:rPr>
                <w:rFonts w:ascii="Courier New" w:hAnsi="Courier New" w:cs="Courier New"/>
                <w:sz w:val="20"/>
                <w:szCs w:val="20"/>
              </w:rPr>
              <w:t>[Workstation Usage - Sessions]) / SUM([Visits])</w:t>
            </w:r>
          </w:p>
        </w:tc>
        <w:tc>
          <w:tcPr>
            <w:tcW w:w="0" w:type="auto"/>
            <w:vAlign w:val="center"/>
            <w:hideMark/>
          </w:tcPr>
          <w:p w:rsidR="000879F5" w:rsidRPr="000879F5" w:rsidRDefault="000879F5" w:rsidP="000879F5">
            <w:r w:rsidRPr="000879F5">
              <w:t>Calculates the proportion of total traffic that is dedicated to using a workstation.</w:t>
            </w:r>
          </w:p>
        </w:tc>
      </w:tr>
    </w:tbl>
    <w:p w:rsidR="000879F5" w:rsidRPr="000879F5" w:rsidRDefault="000879F5" w:rsidP="000879F5">
      <w:pPr>
        <w:rPr>
          <w:color w:val="000000"/>
        </w:rPr>
      </w:pPr>
      <w:r w:rsidRPr="000879F5">
        <w:rPr>
          <w:color w:val="000000"/>
        </w:rPr>
        <w:t>Export to Sheets</w:t>
      </w:r>
    </w:p>
    <w:p w:rsidR="000879F5" w:rsidRPr="000879F5" w:rsidRDefault="00554D15" w:rsidP="000879F5">
      <w:r w:rsidRPr="00554D15">
        <w:rPr>
          <w:noProof/>
          <w14:ligatures w14:val="standardContextual"/>
        </w:rPr>
        <w:pict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:rsidR="000879F5" w:rsidRPr="000879F5" w:rsidRDefault="000879F5" w:rsidP="000879F5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</w:rPr>
      </w:pPr>
      <w:r w:rsidRPr="000879F5">
        <w:rPr>
          <w:b/>
          <w:bCs/>
          <w:color w:val="000000"/>
          <w:sz w:val="27"/>
          <w:szCs w:val="27"/>
        </w:rPr>
        <w:t>3. Cardholder Engagement Profile</w:t>
      </w:r>
    </w:p>
    <w:p w:rsidR="000879F5" w:rsidRPr="000879F5" w:rsidRDefault="000879F5" w:rsidP="000879F5">
      <w:pPr>
        <w:spacing w:before="100" w:beforeAutospacing="1" w:after="100" w:afterAutospacing="1"/>
        <w:rPr>
          <w:color w:val="000000"/>
        </w:rPr>
      </w:pPr>
      <w:r w:rsidRPr="000879F5">
        <w:rPr>
          <w:color w:val="000000"/>
        </w:rPr>
        <w:t>This metric helps to segment the type of engagement, specifically highlighting the balance between adult and youth activity. This is calculated as the share of circulation attributed to Child cardholders.</w:t>
      </w:r>
    </w:p>
    <w:p w:rsidR="000879F5" w:rsidRPr="000879F5" w:rsidRDefault="000879F5" w:rsidP="000879F5">
      <w:pPr>
        <w:spacing w:before="100" w:beforeAutospacing="1" w:after="100" w:afterAutospacing="1"/>
        <w:rPr>
          <w:color w:val="000000"/>
        </w:rPr>
      </w:pPr>
      <w:r w:rsidRPr="000879F5">
        <w:rPr>
          <w:color w:val="000000"/>
        </w:rPr>
        <w:t>This calculation uses the </w:t>
      </w:r>
      <w:r w:rsidRPr="000879F5">
        <w:rPr>
          <w:rFonts w:ascii="Courier New" w:hAnsi="Courier New" w:cs="Courier New"/>
          <w:color w:val="000000"/>
          <w:sz w:val="20"/>
          <w:szCs w:val="20"/>
        </w:rPr>
        <w:t>library-circulation-by-cardhold.csv</w:t>
      </w:r>
      <w:r w:rsidRPr="000879F5">
        <w:rPr>
          <w:color w:val="000000"/>
        </w:rPr>
        <w:t> file.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1"/>
        <w:gridCol w:w="3425"/>
        <w:gridCol w:w="4294"/>
      </w:tblGrid>
      <w:tr w:rsidR="000879F5" w:rsidRPr="000879F5" w:rsidTr="000879F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879F5" w:rsidRPr="000879F5" w:rsidRDefault="000879F5" w:rsidP="000879F5">
            <w:r w:rsidRPr="000879F5">
              <w:t>Tableau Calculated Field</w:t>
            </w:r>
          </w:p>
        </w:tc>
        <w:tc>
          <w:tcPr>
            <w:tcW w:w="0" w:type="auto"/>
            <w:vAlign w:val="center"/>
            <w:hideMark/>
          </w:tcPr>
          <w:p w:rsidR="000879F5" w:rsidRPr="000879F5" w:rsidRDefault="000879F5" w:rsidP="000879F5">
            <w:r w:rsidRPr="000879F5">
              <w:t>Formula</w:t>
            </w:r>
          </w:p>
        </w:tc>
        <w:tc>
          <w:tcPr>
            <w:tcW w:w="0" w:type="auto"/>
            <w:vAlign w:val="center"/>
            <w:hideMark/>
          </w:tcPr>
          <w:p w:rsidR="000879F5" w:rsidRPr="000879F5" w:rsidRDefault="000879F5" w:rsidP="000879F5">
            <w:r w:rsidRPr="000879F5">
              <w:t>Purpose</w:t>
            </w:r>
          </w:p>
        </w:tc>
      </w:tr>
      <w:tr w:rsidR="000879F5" w:rsidRPr="000879F5" w:rsidTr="000879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79F5" w:rsidRPr="000879F5" w:rsidRDefault="000879F5" w:rsidP="000879F5">
            <w:r w:rsidRPr="000879F5">
              <w:rPr>
                <w:b/>
                <w:bCs/>
              </w:rPr>
              <w:t>Child Circulation</w:t>
            </w:r>
          </w:p>
        </w:tc>
        <w:tc>
          <w:tcPr>
            <w:tcW w:w="0" w:type="auto"/>
            <w:vAlign w:val="center"/>
            <w:hideMark/>
          </w:tcPr>
          <w:p w:rsidR="000879F5" w:rsidRPr="000879F5" w:rsidRDefault="000879F5" w:rsidP="000879F5">
            <w:proofErr w:type="gramStart"/>
            <w:r w:rsidRPr="000879F5">
              <w:rPr>
                <w:rFonts w:ascii="Courier New" w:hAnsi="Courier New" w:cs="Courier New"/>
                <w:sz w:val="20"/>
                <w:szCs w:val="20"/>
              </w:rPr>
              <w:t>SUM(</w:t>
            </w:r>
            <w:proofErr w:type="gramEnd"/>
            <w:r w:rsidRPr="000879F5">
              <w:rPr>
                <w:rFonts w:ascii="Courier New" w:hAnsi="Courier New" w:cs="Courier New"/>
                <w:sz w:val="20"/>
                <w:szCs w:val="20"/>
              </w:rPr>
              <w:t>IF [</w:t>
            </w:r>
            <w:proofErr w:type="spellStart"/>
            <w:r w:rsidRPr="000879F5">
              <w:rPr>
                <w:rFonts w:ascii="Courier New" w:hAnsi="Courier New" w:cs="Courier New"/>
                <w:sz w:val="20"/>
                <w:szCs w:val="20"/>
              </w:rPr>
              <w:t>CardholderType</w:t>
            </w:r>
            <w:proofErr w:type="spellEnd"/>
            <w:r w:rsidRPr="000879F5">
              <w:rPr>
                <w:rFonts w:ascii="Courier New" w:hAnsi="Courier New" w:cs="Courier New"/>
                <w:sz w:val="20"/>
                <w:szCs w:val="20"/>
              </w:rPr>
              <w:t>] = 'Child' THEN [Circulation] END)</w:t>
            </w:r>
          </w:p>
        </w:tc>
        <w:tc>
          <w:tcPr>
            <w:tcW w:w="0" w:type="auto"/>
            <w:vAlign w:val="center"/>
            <w:hideMark/>
          </w:tcPr>
          <w:p w:rsidR="000879F5" w:rsidRPr="000879F5" w:rsidRDefault="000879F5" w:rsidP="000879F5">
            <w:r w:rsidRPr="000879F5">
              <w:t>Isolates total circulation by Child cardholders.</w:t>
            </w:r>
          </w:p>
        </w:tc>
      </w:tr>
      <w:tr w:rsidR="000879F5" w:rsidRPr="000879F5" w:rsidTr="000879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79F5" w:rsidRPr="000879F5" w:rsidRDefault="000879F5" w:rsidP="000879F5">
            <w:r w:rsidRPr="000879F5">
              <w:rPr>
                <w:b/>
                <w:bCs/>
              </w:rPr>
              <w:t>Adult Circulation</w:t>
            </w:r>
          </w:p>
        </w:tc>
        <w:tc>
          <w:tcPr>
            <w:tcW w:w="0" w:type="auto"/>
            <w:vAlign w:val="center"/>
            <w:hideMark/>
          </w:tcPr>
          <w:p w:rsidR="000879F5" w:rsidRPr="000879F5" w:rsidRDefault="000879F5" w:rsidP="000879F5">
            <w:proofErr w:type="gramStart"/>
            <w:r w:rsidRPr="000879F5">
              <w:rPr>
                <w:rFonts w:ascii="Courier New" w:hAnsi="Courier New" w:cs="Courier New"/>
                <w:sz w:val="20"/>
                <w:szCs w:val="20"/>
              </w:rPr>
              <w:t>SUM(</w:t>
            </w:r>
            <w:proofErr w:type="gramEnd"/>
            <w:r w:rsidRPr="000879F5">
              <w:rPr>
                <w:rFonts w:ascii="Courier New" w:hAnsi="Courier New" w:cs="Courier New"/>
                <w:sz w:val="20"/>
                <w:szCs w:val="20"/>
              </w:rPr>
              <w:t>IF [</w:t>
            </w:r>
            <w:proofErr w:type="spellStart"/>
            <w:r w:rsidRPr="000879F5">
              <w:rPr>
                <w:rFonts w:ascii="Courier New" w:hAnsi="Courier New" w:cs="Courier New"/>
                <w:sz w:val="20"/>
                <w:szCs w:val="20"/>
              </w:rPr>
              <w:t>CardholderType</w:t>
            </w:r>
            <w:proofErr w:type="spellEnd"/>
            <w:r w:rsidRPr="000879F5">
              <w:rPr>
                <w:rFonts w:ascii="Courier New" w:hAnsi="Courier New" w:cs="Courier New"/>
                <w:sz w:val="20"/>
                <w:szCs w:val="20"/>
              </w:rPr>
              <w:t>] = 'Adult' THEN [Circulation] END)</w:t>
            </w:r>
          </w:p>
        </w:tc>
        <w:tc>
          <w:tcPr>
            <w:tcW w:w="0" w:type="auto"/>
            <w:vAlign w:val="center"/>
            <w:hideMark/>
          </w:tcPr>
          <w:p w:rsidR="000879F5" w:rsidRPr="000879F5" w:rsidRDefault="000879F5" w:rsidP="000879F5">
            <w:r w:rsidRPr="000879F5">
              <w:t xml:space="preserve">Isolates total circulation by </w:t>
            </w:r>
            <w:proofErr w:type="gramStart"/>
            <w:r w:rsidRPr="000879F5">
              <w:t>Adult</w:t>
            </w:r>
            <w:proofErr w:type="gramEnd"/>
            <w:r w:rsidRPr="000879F5">
              <w:t xml:space="preserve"> cardholders.</w:t>
            </w:r>
          </w:p>
        </w:tc>
      </w:tr>
      <w:tr w:rsidR="000879F5" w:rsidRPr="000879F5" w:rsidTr="000879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79F5" w:rsidRPr="000879F5" w:rsidRDefault="000879F5" w:rsidP="000879F5">
            <w:r w:rsidRPr="000879F5">
              <w:rPr>
                <w:b/>
                <w:bCs/>
              </w:rPr>
              <w:t>Child Circulation Share %</w:t>
            </w:r>
          </w:p>
        </w:tc>
        <w:tc>
          <w:tcPr>
            <w:tcW w:w="0" w:type="auto"/>
            <w:vAlign w:val="center"/>
            <w:hideMark/>
          </w:tcPr>
          <w:p w:rsidR="000879F5" w:rsidRPr="000879F5" w:rsidRDefault="000879F5" w:rsidP="000879F5">
            <w:r w:rsidRPr="000879F5">
              <w:rPr>
                <w:rFonts w:ascii="Courier New" w:hAnsi="Courier New" w:cs="Courier New"/>
                <w:sz w:val="20"/>
                <w:szCs w:val="20"/>
              </w:rPr>
              <w:t>[Child Circulation] / ([Child Circulation] + [Adult Circulation])</w:t>
            </w:r>
          </w:p>
        </w:tc>
        <w:tc>
          <w:tcPr>
            <w:tcW w:w="0" w:type="auto"/>
            <w:vAlign w:val="center"/>
            <w:hideMark/>
          </w:tcPr>
          <w:p w:rsidR="000879F5" w:rsidRPr="000879F5" w:rsidRDefault="000879F5" w:rsidP="000879F5">
            <w:r w:rsidRPr="000879F5">
              <w:t>Shows the percentage of all non-digital circulation attributed to children/youth. </w:t>
            </w:r>
            <w:r w:rsidRPr="000879F5">
              <w:rPr>
                <w:b/>
                <w:bCs/>
              </w:rPr>
              <w:t>Format as a Percentage.</w:t>
            </w:r>
          </w:p>
        </w:tc>
      </w:tr>
    </w:tbl>
    <w:p w:rsidR="000879F5" w:rsidRPr="00551485" w:rsidRDefault="000879F5" w:rsidP="00551485">
      <w:pPr>
        <w:spacing w:before="100" w:beforeAutospacing="1" w:after="100" w:afterAutospacing="1"/>
        <w:rPr>
          <w:color w:val="000000"/>
        </w:rPr>
      </w:pPr>
    </w:p>
    <w:sectPr w:rsidR="000879F5" w:rsidRPr="00551485" w:rsidSect="004731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2E2B97"/>
    <w:multiLevelType w:val="multilevel"/>
    <w:tmpl w:val="D9EAA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F158D9"/>
    <w:multiLevelType w:val="multilevel"/>
    <w:tmpl w:val="75B2A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2059413">
    <w:abstractNumId w:val="0"/>
  </w:num>
  <w:num w:numId="2" w16cid:durableId="21208306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35C"/>
    <w:rsid w:val="00046985"/>
    <w:rsid w:val="000879F5"/>
    <w:rsid w:val="003076DB"/>
    <w:rsid w:val="0046135C"/>
    <w:rsid w:val="004731F5"/>
    <w:rsid w:val="00551485"/>
    <w:rsid w:val="00554D15"/>
    <w:rsid w:val="009A4CA5"/>
    <w:rsid w:val="00A941F8"/>
    <w:rsid w:val="00AC207E"/>
    <w:rsid w:val="00AF0A19"/>
    <w:rsid w:val="00B20D9A"/>
    <w:rsid w:val="00BA6CAF"/>
    <w:rsid w:val="00C677DE"/>
    <w:rsid w:val="00D57403"/>
    <w:rsid w:val="00D6200E"/>
    <w:rsid w:val="00DA7E85"/>
    <w:rsid w:val="00DF0D48"/>
    <w:rsid w:val="00DF2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C9C27"/>
  <w14:defaultImageDpi w14:val="32767"/>
  <w15:chartTrackingRefBased/>
  <w15:docId w15:val="{27C7C318-7B90-CE42-A7AD-BE3FE8A29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879F5"/>
    <w:rPr>
      <w:rFonts w:ascii="Times New Roman" w:eastAsia="Times New Roman" w:hAnsi="Times New Roman" w:cs="Times New Roman"/>
      <w:kern w:val="0"/>
      <w:lang w:val="en-CA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46135C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6135C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6135C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6135C"/>
    <w:rPr>
      <w:rFonts w:ascii="Times New Roman" w:eastAsia="Times New Roman" w:hAnsi="Times New Roman" w:cs="Times New Roman"/>
      <w:b/>
      <w:bCs/>
      <w:kern w:val="0"/>
      <w:sz w:val="36"/>
      <w:szCs w:val="36"/>
      <w:lang w:val="en-CA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46135C"/>
    <w:rPr>
      <w:rFonts w:ascii="Times New Roman" w:eastAsia="Times New Roman" w:hAnsi="Times New Roman" w:cs="Times New Roman"/>
      <w:b/>
      <w:bCs/>
      <w:kern w:val="0"/>
      <w:sz w:val="27"/>
      <w:szCs w:val="27"/>
      <w:lang w:val="en-CA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46135C"/>
    <w:rPr>
      <w:rFonts w:ascii="Times New Roman" w:eastAsia="Times New Roman" w:hAnsi="Times New Roman" w:cs="Times New Roman"/>
      <w:b/>
      <w:bCs/>
      <w:kern w:val="0"/>
      <w:lang w:val="en-CA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6135C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46135C"/>
  </w:style>
  <w:style w:type="character" w:customStyle="1" w:styleId="citation-125">
    <w:name w:val="citation-125"/>
    <w:basedOn w:val="DefaultParagraphFont"/>
    <w:rsid w:val="0046135C"/>
  </w:style>
  <w:style w:type="character" w:customStyle="1" w:styleId="citation-124">
    <w:name w:val="citation-124"/>
    <w:basedOn w:val="DefaultParagraphFont"/>
    <w:rsid w:val="0046135C"/>
  </w:style>
  <w:style w:type="character" w:customStyle="1" w:styleId="citation-123">
    <w:name w:val="citation-123"/>
    <w:basedOn w:val="DefaultParagraphFont"/>
    <w:rsid w:val="0046135C"/>
  </w:style>
  <w:style w:type="character" w:customStyle="1" w:styleId="citation-122">
    <w:name w:val="citation-122"/>
    <w:basedOn w:val="DefaultParagraphFont"/>
    <w:rsid w:val="0046135C"/>
  </w:style>
  <w:style w:type="character" w:customStyle="1" w:styleId="mrel">
    <w:name w:val="mrel"/>
    <w:basedOn w:val="DefaultParagraphFont"/>
    <w:rsid w:val="0046135C"/>
  </w:style>
  <w:style w:type="character" w:customStyle="1" w:styleId="mord">
    <w:name w:val="mord"/>
    <w:basedOn w:val="DefaultParagraphFont"/>
    <w:rsid w:val="0046135C"/>
  </w:style>
  <w:style w:type="character" w:customStyle="1" w:styleId="citation-121">
    <w:name w:val="citation-121"/>
    <w:basedOn w:val="DefaultParagraphFont"/>
    <w:rsid w:val="0046135C"/>
  </w:style>
  <w:style w:type="character" w:customStyle="1" w:styleId="citation-120">
    <w:name w:val="citation-120"/>
    <w:basedOn w:val="DefaultParagraphFont"/>
    <w:rsid w:val="0046135C"/>
  </w:style>
  <w:style w:type="character" w:customStyle="1" w:styleId="export-sheets-button">
    <w:name w:val="export-sheets-button"/>
    <w:basedOn w:val="DefaultParagraphFont"/>
    <w:rsid w:val="0046135C"/>
  </w:style>
  <w:style w:type="character" w:customStyle="1" w:styleId="citation-119">
    <w:name w:val="citation-119"/>
    <w:basedOn w:val="DefaultParagraphFont"/>
    <w:rsid w:val="0046135C"/>
  </w:style>
  <w:style w:type="character" w:customStyle="1" w:styleId="citation-118">
    <w:name w:val="citation-118"/>
    <w:basedOn w:val="DefaultParagraphFont"/>
    <w:rsid w:val="0046135C"/>
  </w:style>
  <w:style w:type="character" w:customStyle="1" w:styleId="citation-117">
    <w:name w:val="citation-117"/>
    <w:basedOn w:val="DefaultParagraphFont"/>
    <w:rsid w:val="0046135C"/>
  </w:style>
  <w:style w:type="character" w:customStyle="1" w:styleId="citation-116">
    <w:name w:val="citation-116"/>
    <w:basedOn w:val="DefaultParagraphFont"/>
    <w:rsid w:val="0046135C"/>
  </w:style>
  <w:style w:type="character" w:customStyle="1" w:styleId="citation-115">
    <w:name w:val="citation-115"/>
    <w:basedOn w:val="DefaultParagraphFont"/>
    <w:rsid w:val="0046135C"/>
  </w:style>
  <w:style w:type="character" w:customStyle="1" w:styleId="citation-114">
    <w:name w:val="citation-114"/>
    <w:basedOn w:val="DefaultParagraphFont"/>
    <w:rsid w:val="0046135C"/>
  </w:style>
  <w:style w:type="character" w:customStyle="1" w:styleId="vlist-s">
    <w:name w:val="vlist-s"/>
    <w:basedOn w:val="DefaultParagraphFont"/>
    <w:rsid w:val="0046135C"/>
  </w:style>
  <w:style w:type="character" w:customStyle="1" w:styleId="mbin">
    <w:name w:val="mbin"/>
    <w:basedOn w:val="DefaultParagraphFont"/>
    <w:rsid w:val="0046135C"/>
  </w:style>
  <w:style w:type="character" w:customStyle="1" w:styleId="citation-113">
    <w:name w:val="citation-113"/>
    <w:basedOn w:val="DefaultParagraphFont"/>
    <w:rsid w:val="0046135C"/>
  </w:style>
  <w:style w:type="character" w:customStyle="1" w:styleId="citation-112">
    <w:name w:val="citation-112"/>
    <w:basedOn w:val="DefaultParagraphFont"/>
    <w:rsid w:val="0046135C"/>
  </w:style>
  <w:style w:type="character" w:customStyle="1" w:styleId="citation-111">
    <w:name w:val="citation-111"/>
    <w:basedOn w:val="DefaultParagraphFont"/>
    <w:rsid w:val="0046135C"/>
  </w:style>
  <w:style w:type="character" w:customStyle="1" w:styleId="citation-110">
    <w:name w:val="citation-110"/>
    <w:basedOn w:val="DefaultParagraphFont"/>
    <w:rsid w:val="0046135C"/>
  </w:style>
  <w:style w:type="character" w:customStyle="1" w:styleId="citation-109">
    <w:name w:val="citation-109"/>
    <w:basedOn w:val="DefaultParagraphFont"/>
    <w:rsid w:val="0046135C"/>
  </w:style>
  <w:style w:type="character" w:customStyle="1" w:styleId="citation-108">
    <w:name w:val="citation-108"/>
    <w:basedOn w:val="DefaultParagraphFont"/>
    <w:rsid w:val="0046135C"/>
  </w:style>
  <w:style w:type="character" w:customStyle="1" w:styleId="citation-107">
    <w:name w:val="citation-107"/>
    <w:basedOn w:val="DefaultParagraphFont"/>
    <w:rsid w:val="0046135C"/>
  </w:style>
  <w:style w:type="character" w:customStyle="1" w:styleId="citation-106">
    <w:name w:val="citation-106"/>
    <w:basedOn w:val="DefaultParagraphFont"/>
    <w:rsid w:val="0046135C"/>
  </w:style>
  <w:style w:type="character" w:customStyle="1" w:styleId="citation-105">
    <w:name w:val="citation-105"/>
    <w:basedOn w:val="DefaultParagraphFont"/>
    <w:rsid w:val="0046135C"/>
  </w:style>
  <w:style w:type="character" w:customStyle="1" w:styleId="citation-104">
    <w:name w:val="citation-104"/>
    <w:basedOn w:val="DefaultParagraphFont"/>
    <w:rsid w:val="0046135C"/>
  </w:style>
  <w:style w:type="character" w:customStyle="1" w:styleId="citation-103">
    <w:name w:val="citation-103"/>
    <w:basedOn w:val="DefaultParagraphFont"/>
    <w:rsid w:val="0046135C"/>
  </w:style>
  <w:style w:type="character" w:customStyle="1" w:styleId="citation-102">
    <w:name w:val="citation-102"/>
    <w:basedOn w:val="DefaultParagraphFont"/>
    <w:rsid w:val="0046135C"/>
  </w:style>
  <w:style w:type="character" w:customStyle="1" w:styleId="citation-101">
    <w:name w:val="citation-101"/>
    <w:basedOn w:val="DefaultParagraphFont"/>
    <w:rsid w:val="0046135C"/>
  </w:style>
  <w:style w:type="character" w:customStyle="1" w:styleId="citation-100">
    <w:name w:val="citation-100"/>
    <w:basedOn w:val="DefaultParagraphFont"/>
    <w:rsid w:val="0046135C"/>
  </w:style>
  <w:style w:type="character" w:styleId="HTMLCode">
    <w:name w:val="HTML Code"/>
    <w:basedOn w:val="DefaultParagraphFont"/>
    <w:uiPriority w:val="99"/>
    <w:semiHidden/>
    <w:unhideWhenUsed/>
    <w:rsid w:val="00B20D9A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5514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pen">
    <w:name w:val="mopen"/>
    <w:basedOn w:val="DefaultParagraphFont"/>
    <w:rsid w:val="000879F5"/>
  </w:style>
  <w:style w:type="character" w:customStyle="1" w:styleId="mclose">
    <w:name w:val="mclose"/>
    <w:basedOn w:val="DefaultParagraphFont"/>
    <w:rsid w:val="000879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01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7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04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147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954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14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860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076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76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659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51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86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01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7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21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06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60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15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17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627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36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50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62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823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30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661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96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045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9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94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773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37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703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74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48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30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54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685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47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878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465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15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83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23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953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8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44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691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5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27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614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1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66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70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073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1062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452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877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87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41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273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5008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629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1559</Words>
  <Characters>8890</Characters>
  <Application>Microsoft Office Word</Application>
  <DocSecurity>0</DocSecurity>
  <Lines>74</Lines>
  <Paragraphs>20</Paragraphs>
  <ScaleCrop>false</ScaleCrop>
  <Company/>
  <LinksUpToDate>false</LinksUpToDate>
  <CharactersWithSpaces>10429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Edimaobong Udo</dc:creator>
  <cp:keywords/>
  <dc:description/>
  <cp:lastModifiedBy>Edimaobong Udo</cp:lastModifiedBy>
  <cp:revision>5</cp:revision>
  <dcterms:created xsi:type="dcterms:W3CDTF">2025-10-27T17:42:00Z</dcterms:created>
  <dcterms:modified xsi:type="dcterms:W3CDTF">2025-10-28T17:47:00Z</dcterms:modified>
</cp:coreProperties>
</file>