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Interesting stories about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On a class trip to the Arroyo on October 2 1997, my students noticed very few birds on our arrival. Normally during this time of the year a variety of water fowl are observed. Herons, kingfishers, ducks, and even egrets have been observed in the study area. On this particular trip very little fauna was observed. Numerous trees were tagged with metal disks and some had painted numbers on them. Only one bullfrog popped his head above the water line where normally there are many. All of a sudden chain saws started up and could be heard in the distance. As we moved further down the channel we saw temporary fences set up along the base of the creek channel. It became obvious that they were there to prevent dirt and other objects from tumbling down the hill side and into the creek bed. A large Catepilar tractor was seen leveling the lot at the top of the channel. We were informed that TownHomes were being built. Students were initially upset but realized that development seemed inevitable. A discussion followed that focused on how economic growth and protection of habitat can coexist.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