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4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tbl>
            <w:tblPr>
              <w:tblStyle w:val="Table3"/>
              <w:tblW w:w="9360.0" w:type="dxa"/>
              <w:jc w:val="left"/>
              <w:tblLayout w:type="fixed"/>
              <w:tblLook w:val="0600"/>
            </w:tblPr>
            <w:tblGrid>
              <w:gridCol w:w="4492.799999999999"/>
              <w:gridCol w:w="4867.200000000001"/>
              <w:tblGridChange w:id="0">
                <w:tblGrid>
                  <w:gridCol w:w="4492.799999999999"/>
                  <w:gridCol w:w="4867.200000000001"/>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April 2000 an entire day was spent collecting data from all 14 sites in the study area. In addition, students went beyond the normal study area to sample sites further down stream. Primary productivity tests were taken that revealed that productivty of the creek was low but at acceptable levels to support significant fauna diversity. Nitrate and phosphate concentrations were appropriate for normal levels of aquatic plant and algae growth. Turbidity was low and DO levels were at an acceptable range when compared to abiotic factors (water temp, depth, rate of flow). Kicknet samples collected very few pollution sensitive specimens. There was very little diversity of organisms. No frogs were observed but several bull frog tadpoles were spotted at site six.</w:t>
                  </w:r>
                </w:p>
              </w:tc>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removing a camper shell found submerged at site 3.</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 tremendous number of the unknown crustacean were collected at site 12 and at a location near the foot bridge located down stream. Many fish frye were observed in the slow moving water along the bank of sites 7, 8, 9, and 10. Overall we were excited to find so many fish frye but were concerbed about the diversity of organisms collected by the kicknet and the alarming absence of bullfrogs which have been abundant in the past. Arrundo is almost non-existant from the sites where it typically tends to take over. The spraying program has been very effective at controlling the growth of this very invasive bamboo like weed. Students are convinced that the spraying program is responsible for the absence of pollution sensitive species. We are looking forward to the Fall when we can evaluate the ability of the Arroyo to rebound from removal of the Arrundo.</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assemble on the foot bridge after a long day.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