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5555"/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The presence of Alu DNA fragments will help determine ethnicity and possible evolutionary patterns.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5555"/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If Alu fragments can be easily seen, then we can utilize it to determine ethnicity and possible evolutionary patterns among humans.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