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ab/>
        <w:t xml:space="preserve">         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shd w:fill="auto" w:val="clear"/>
          <w:rtl w:val="0"/>
        </w:rPr>
        <w:t xml:space="preserve">         Hypothesis: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    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auto" w:val="clear"/>
          <w:rtl w:val="0"/>
        </w:rPr>
        <w:t xml:space="preserve">Algae can be grown and dried to create an alternative source of paper.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shd w:fill="auto" w:val="clear"/>
          <w:rtl w:val="0"/>
        </w:rPr>
        <w:t xml:space="preserve">         Prediction: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auto" w:val="clear"/>
          <w:rtl w:val="0"/>
        </w:rPr>
        <w:t xml:space="preserve">     If algae can be grown and dried to create an alternative source of paper, then when the species, Spirogyra, is placed in a growth-supporting medium, it can be grown and then dried to form paper.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