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48"/>
                <w:szCs w:val="48"/>
                <w:shd w:fill="auto" w:val="clear"/>
                <w:rtl w:val="0"/>
              </w:rPr>
              <w:t xml:space="preserve">Literature Cited: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"Antioxidants May Offer Protection." Online: Internet.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www.medakate.org/sle-diet.html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Chester, Laura. Lupus Novice. Barrytown, New York: Station Hill Press, 1987.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"Fighting Off an Immune System Attack." 3 pages. Online: Internet. 19 February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http://www.healthyideas.com/healing/vitamin/ail/lupus/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Lahita, Robert G. and Philips, Robert H. Lupus: Everything You Need to Know. Garden City Park, New York: Avery Publishing Group, 1998.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"Lupus Fact Sheet." The Lupus Foundation of America, Inc. Texas Gulf Coast Chapter. 2 pages. Online: Internet. 19 February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http://www.lupustxgcc.org/factsheet.html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Lupus Foundation of America Inc.: Texas Gulf Coast Chapter. L.E. Network. Houston Texas: Volume 11, Number 2, March/April 2000.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MedaKate, Global Cyberspace Support Group &amp; Educational Information. "Lupus Living and Fibromyalgia." Online: Internet. 2 January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http://www.medakate.org/sle.html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Saywell, Christina and Saywell, Laura. Lupus and the Skin. Online: Internet. 21 November 1999.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http://www.lupusvic.org.au/skin.htm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"Should Fish Be Your Dish?" Prevention. 2 pages. Online: Internet. 19 February 2000. (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http://www.healthyideas.com/healing/vitamin/ail/lupus/more3.html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Wallace, Daniel J. The Lupus Book. New York: Oxford University Press, 1995.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