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Inlander, Charles. "Stress," Walker Publishing Company,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Ontario, Canada. 1996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Flannery, Raymond. "Becoming Stress-Resistant," Continuum Publishing Company, New York, New York. 1990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Norden, Michael. "Beyond Prozac," HarperCollins Publishers, Inc.,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New York, New York. 1995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Sharkey, Brian. "Fitness and Health," Human Kinetics,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Champaign, Ilinois. 1997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Web URL's: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f"/>
                <w:sz w:val="36"/>
                <w:szCs w:val="36"/>
                <w:shd w:fill="auto" w:val="clear"/>
                <w:rtl w:val="0"/>
              </w:rPr>
              <w:t xml:space="preserve">www.stress.jrn.columbia.edu/sit/index.html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f"/>
                <w:sz w:val="36"/>
                <w:szCs w:val="36"/>
                <w:shd w:fill="auto" w:val="clear"/>
                <w:rtl w:val="0"/>
              </w:rPr>
              <w:t xml:space="preserve">www.stresshq.com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f"/>
                <w:sz w:val="36"/>
                <w:szCs w:val="36"/>
                <w:shd w:fill="auto" w:val="clear"/>
                <w:rtl w:val="0"/>
              </w:rPr>
              <w:t xml:space="preserve">www.healthexcite.com/wellness_topic/fit.com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f"/>
                <w:sz w:val="36"/>
                <w:szCs w:val="36"/>
                <w:shd w:fill="auto" w:val="clear"/>
                <w:rtl w:val="0"/>
              </w:rPr>
              <w:t xml:space="preserve">www.fitnesslink.com/index2.shtml.com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f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