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Bacteria, when exposed to ethyl alcohol, will acquire a stress-induced resistance to ethyl alcohol.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If bacteria are exposed to a sub-lethal dose of ethyl alcohol, there will be a measurable difference in their survival time compared to that of a culture that has not been exposed to the compound.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