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72.0000000000002"/>
        <w:gridCol w:w="3744"/>
        <w:gridCol w:w="3744"/>
        <w:tblGridChange w:id="0">
          <w:tblGrid>
            <w:gridCol w:w="1872.0000000000002"/>
            <w:gridCol w:w="3744"/>
            <w:gridCol w:w="3744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sz w:val="48"/>
                <w:szCs w:val="48"/>
                <w:shd w:fill="auto" w:val="clear"/>
                <w:rtl w:val="0"/>
              </w:rPr>
              <w:t xml:space="preserve">Electromagnetic Fields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sz w:val="48"/>
                <w:szCs w:val="48"/>
                <w:shd w:fill="auto" w:val="clear"/>
                <w:rtl w:val="0"/>
              </w:rPr>
              <w:t xml:space="preserve">and Their Effects on Root Systems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Collin and David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