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5.0" w:type="pct"/>
        <w:tblLayout w:type="fixed"/>
        <w:tblLook w:val="0600"/>
      </w:tblPr>
      <w:tblGrid>
        <w:gridCol w:w="334.9152542372881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gridCol w:w="564.0677966101695"/>
        <w:tblGridChange w:id="0">
          <w:tblGrid>
            <w:gridCol w:w="334.9152542372881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  <w:gridCol w:w="564.067796610169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50.5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50.5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99.7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100.8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119.9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120.1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20.5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Avg. Day 14-17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-13.7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45.28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34.78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52.48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45.88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47.73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48.55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