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aa"/>
                <w:sz w:val="72"/>
                <w:szCs w:val="72"/>
              </w:rPr>
            </w:pPr>
            <w:r w:rsidDel="00000000" w:rsidR="00000000" w:rsidRPr="00000000">
              <w:rPr>
                <w:color w:val="0000aa"/>
                <w:sz w:val="72"/>
                <w:szCs w:val="72"/>
                <w:rtl w:val="0"/>
              </w:rPr>
              <w:t xml:space="preserve">Goals of Independent Study Project: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Contact Applied Biosystems (formerly PE Biosystems) and make arrangements for acquisition of reagents.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Develop mastery of the PCR machine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Establish an effective protocol for collection and cloning of Alu DNA fragment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Design a lab activity that will allow AP Bio students to clone and study Alu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Sample a significant number of students from Amador to evaluate the validity of using Alu as a means of evaluating human origins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Organize and display data in html format and publish on web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aa0000"/>
                <w:sz w:val="36"/>
                <w:szCs w:val="36"/>
                <w:rtl w:val="0"/>
              </w:rPr>
              <w:t xml:space="preserve">Present findings to AP Biology classes, Tri-Valley Science and Engineering Fair, interested parties, and the Intel Science and Engineering Fair if applicable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aa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a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material.html" TargetMode="External"/><Relationship Id="rId10" Type="http://schemas.openxmlformats.org/officeDocument/2006/relationships/hyperlink" Target="http://docs.google.com/hypo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data.html" TargetMode="External"/><Relationship Id="rId12" Type="http://schemas.openxmlformats.org/officeDocument/2006/relationships/hyperlink" Target="http://docs.google.com/proc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view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