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Heavy Weight #9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w/o strip; Series #2 w/ strip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77.544 bpm; Series #2 79.7718 bpm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.0798 probability of occurring by chance when compared to the mean in Series #1. This shows strong evidence that the nasal strip decreased the subject�s pulse rate.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696.1683 ml; Series #2 mean: 719.228 ml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has less than a .001 probability of occurring by chance when compared to the Series #1 mean. This gives strong evidence that the nasal strip increased tidal volume of the subject.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14.5441 bqpm; Series #2 mean: 14.061 bqpm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.089 probability of occurring by chance when compared to the Series #1 mean. This gives strong evidence that the nasal strip decreased the subject�s respiratory rate.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303,752.055 ml; Series #2 mean: 305,549.63 ml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.9472 probability of occurring by chance when compared to the Series #1 mean. This shows weak evidence that the nasal strip either increased or decreased the subject�s 30 minute volume.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