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#3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mean:76.5514 bpm ; Series #2 mean: 72.640 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.0034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559.826 ml; Series #2 mean:571.7618 ml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.052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14.0472 bqpm; Series #2 mean: 12.6995 bqpm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.0106 probability of occurring by chance when compared to the Series #1 mean. This gives strong evidence that the nasal strip lowered the subject�s respiratory rate.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232,417.67 ml; Series #2 mean237,373.8571 ml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.276 probability of occurring by chance when compared to the Series #1 mean. This gives weak evidence that the nasal strip either increased or decreased the subjects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