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#9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1440180</wp:posOffset>
            </wp:positionH>
            <wp:positionV relativeFrom="paragraph">
              <wp:posOffset>731520</wp:posOffset>
            </wp:positionV>
            <wp:extent cx="3381375" cy="187642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 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Series #1 mean: 77.544 bpm; Series #2 79.7718 bpm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.0798 probability of occurring by chance when compared to the mean in Series #1. This shows strong evidence that the nasal strip decreased the subject’s pulse rate.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1350645</wp:posOffset>
            </wp:positionH>
            <wp:positionV relativeFrom="paragraph">
              <wp:posOffset>651510</wp:posOffset>
            </wp:positionV>
            <wp:extent cx="3381375" cy="18764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696.1683 ml; Series #2 mean: 719.228 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has less than a .001 probability of occurring by chance when compared to the Series #1 mean. This gives strong evidence that the nasal strip increased tidal volume of the subject.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1167765</wp:posOffset>
            </wp:positionH>
            <wp:positionV relativeFrom="paragraph">
              <wp:posOffset>607695</wp:posOffset>
            </wp:positionV>
            <wp:extent cx="3381375" cy="1876425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14.5441 bqpm; Series #2 mean: 14.061 bqpm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.089 probability of occurring by chance when compared to the Series #1 mean. This gives strong evidence that the nasal strip decreased the subject’s respiratory rate.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303,752.055 ml; Series #2 mean: 305,549.63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45720</wp:posOffset>
            </wp:positionV>
            <wp:extent cx="3381375" cy="18764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.9472 probability of occurring by chance when compared to the Series #1 mean. This shows weak evidence that the nasal strip either increased or decreased the subject’s 30 minute volume.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