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MATERIALS USED: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 Intermediate Pneuotachomonator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 140 "Breathe Right Nasal Strips" (relaxation)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3) Polar Heart Rate Monitor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4) Stop Watch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5) Data Journal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6) 10 moderately massed subjects (129lbs-159lbs)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7) 10 heavily massed subjects (160lbs-190lbs)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8) Comfortable environment (70 degree room temperature)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9) Body Mass Scale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10) Bed with precisely positioned pillows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11) Water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12) Nose cover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13) Texas Instrument Calculator (obtaining random numbers)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MATERIALS USED: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1) Intermediate Pneuotachomonator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2) 140 "Breathe Right Nasal Strips" (relaxation)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3) Polar Heart Rate Monitor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4) Stop Watch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5) Data Journal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6) 10 moderately massed subjects (129lbs-159lbs)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7) 10 heavily massed subjects (160lbs-190lbs)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8) Comfortable environment (70 degree room temperature)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9) Body Mass Scale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10) Bed with precisely positioned pillows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11) Water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12) Nose cover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13) Texas Instrument Calculator (obtaining random numbers)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