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0"/>
          <w:sz w:val="32"/>
          <w:szCs w:val="32"/>
          <w:vertAlign w:val="baseline"/>
        </w:rPr>
      </w:pPr>
      <w:r w:rsidDel="00000000" w:rsidR="00000000" w:rsidRPr="00000000">
        <w:rPr>
          <w:i w:val="1"/>
          <w:sz w:val="32"/>
          <w:szCs w:val="32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Raven, Peter H. and Johnson, George B.</w:t>
      </w:r>
      <w:r w:rsidDel="00000000" w:rsidR="00000000" w:rsidRPr="00000000">
        <w:rPr>
          <w:sz w:val="24"/>
          <w:szCs w:val="24"/>
          <w:u w:val="single"/>
          <w:vertAlign w:val="baseline"/>
          <w:rtl w:val="0"/>
        </w:rPr>
        <w:t xml:space="preserve">BIOLOGY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edition. WMC Brown Publishers. 1995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Duble, Richard L. 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Rye Grass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Online. Available:http:aggie-horticulture.tamu.edu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Perrenial Ryegrass. Online. Available: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