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9900cc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9900cc"/>
                <w:sz w:val="72"/>
                <w:szCs w:val="72"/>
                <w:shd w:fill="auto" w:val="clear"/>
                <w:rtl w:val="0"/>
              </w:rPr>
              <w:t xml:space="preserve">Question: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9900cc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Can natural foods act as alternatives to ant- acids in relieving the pain of heartburn?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9900cc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b w:val="1"/>
                <w:color w:val="9900cc"/>
                <w:sz w:val="72"/>
                <w:szCs w:val="72"/>
                <w:shd w:fill="auto" w:val="clear"/>
                <w:rtl w:val="0"/>
              </w:rPr>
              <w:t xml:space="preserve">Hypothesis: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9900cc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Natural foods can relive the pain that is cause by heartburn by lowering pH as effectively as ant-acids.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9900cc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b w:val="1"/>
                <w:color w:val="9900cc"/>
                <w:sz w:val="72"/>
                <w:szCs w:val="72"/>
                <w:shd w:fill="auto" w:val="clear"/>
                <w:rtl w:val="0"/>
              </w:rPr>
              <w:t xml:space="preserve">Prediction: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9900cc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If natural foods can relive the pain that is caused by heartburn by lowering pH as effectively as ant-acids, then when these foods are added to acid conditions, they will neutralize the acid as effectively as the ant- acids will.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&lt;-----Back </w:t>
              </w:r>
            </w:hyperlink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Next-----&gt;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tro3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procedure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