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Karl's 2000-2001 AP Bio Project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Topic: Rate of Yeast Respiration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What is the relationship between the concentration of sucrose and the anaerobic rate of respiration of yeast?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Hypothesis: The relationship between the concentration of sucrose and the rate of respiration of yeast will be linear.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Prediction: If the relationship between the concentration of sucrose and the rate of respiration of yeast is linear then the best fit lines of the rate of anaerobic respiration in varying concentrations of sucrose will have a linear relationship.</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Materials: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Differentiable Pressure sensor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 Converter - 5V swing - serial interface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Yeast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Sucrose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Associated Glassware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Schedule: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1st, 2000 - Completed with Experiment layout and functional website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January 1st, 2000 - Execute experiment and perfect procedure - gather all data</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February 1st, 2000 - Statistical analysis on site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1st, 2000 - Completed Project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