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"75% Caffeine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Tray with a plant</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radish plants in a tray</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small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1newborn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newborn</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table above shows </w:t>
            </w:r>
            <w:r w:rsidDel="00000000" w:rsidR="00000000" w:rsidRPr="00000000">
              <w:rPr>
                <w:b w:val="1"/>
                <w:shd w:fill="auto" w:val="clear"/>
                <w:rtl w:val="0"/>
              </w:rPr>
              <w:t xml:space="preserve">how</w:t>
            </w:r>
            <w:r w:rsidDel="00000000" w:rsidR="00000000" w:rsidRPr="00000000">
              <w:rPr>
                <w:shd w:fill="auto" w:val="clear"/>
                <w:rtl w:val="0"/>
              </w:rPr>
              <w:t xml:space="preserve"> the data is being collected. Further on the tables will be showing only the average of this data, because in this way it is much easier to see the difference in plant conditions variations from week to week.</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leaves have green color and the stems have a pale green color. The table below shows the average width and length of the leaves: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6563.7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1.86 cm</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1.43 cm</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 cm</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 cm</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 cm</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Totaling all the information above we can see that there 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75 %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above shows us almost what we have observed in the previous samples. 31 leaves reached its medium size and 18 newborns showed up.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4.1 cm.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are shown below in the table: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75 %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ab/>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newborns grew to the small size, but some newborns are still showing up, not in a large amounts though in compare with the total number of leaves.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you will see the table with average length of the leaves: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2.77 cm</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1.73 cm</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1.46 cm</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 cm</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 cm</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6.93 cm.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#3</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are below in the tables: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75 %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4.35 cm</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3.58 cm</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2.35 cm</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 cm</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cm</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 of leaves is 9.43 cm.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#4</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75 %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4.40 cm</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3.65 cm</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3.05 cm</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1.35 cm</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1.13 cm</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the plants is 9.63 cm.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#5</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75 %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5.30 cm</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4.08 cm</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2.93 cm</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1.57 cm</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1.10 cm</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11.5 cm.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temperature and humidity are measured at the beginning of each week:</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Weeks of watering with caffeine:</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minimum</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(BACK)</w:t>
              </w:r>
            </w:hyperlink>
            <w:hyperlink r:id="rId8">
              <w:r w:rsidDel="00000000" w:rsidR="00000000" w:rsidRPr="00000000">
                <w:rPr>
                  <w:color w:val="0000ee"/>
                  <w:u w:val="single"/>
                  <w:shd w:fill="auto" w:val="clear"/>
                  <w:rtl w:val="0"/>
                </w:rPr>
                <w:t xml:space="preserve">(Graphs)</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data100.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data50.html" TargetMode="External"/><Relationship Id="rId8" Type="http://schemas.openxmlformats.org/officeDocument/2006/relationships/hyperlink" Target="http://docs.google.com/grap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