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75.2" w:type="dxa"/>
        <w:jc w:val="left"/>
        <w:tblInd w:w="0.0" w:type="pct"/>
        <w:tblLayout w:type="fixed"/>
        <w:tblLook w:val="0600"/>
      </w:tblPr>
      <w:tblGrid>
        <w:gridCol w:w="400"/>
        <w:gridCol w:w="7675.2"/>
        <w:tblGridChange w:id="0">
          <w:tblGrid>
            <w:gridCol w:w="400"/>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Homepage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Abstract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Review of the Literature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Statement of the Problem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Hypothesis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Materials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Procedure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Results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Acknowledgements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Recommendations </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grass that did not have any music played to it was best overall. The other grasses separated out distinctly, with Rap second, Jazz third, Hawaiian fourth, Hard Rock fifth, and Classical sixth. This distinct separation leads to the belief that sound negatively impact the grasses metabolism.</w:t>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