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E01EB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52"/>
                <w:szCs w:val="52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52"/>
                <w:szCs w:val="52"/>
                <w:shd w:fill="auto" w:val="clear"/>
                <w:rtl w:val="0"/>
              </w:rPr>
              <w:t xml:space="preserve">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A study of acid rain and aluminum toxicity in Raphanus sativus L.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6844.836852207294"/>
        <w:gridCol w:w="1940.2687140115165"/>
        <w:gridCol w:w="287.447216890595"/>
        <w:gridCol w:w="287.447216890595"/>
        <w:tblGridChange w:id="0">
          <w:tblGrid>
            <w:gridCol w:w="6844.836852207294"/>
            <w:gridCol w:w="1940.2687140115165"/>
            <w:gridCol w:w="287.447216890595"/>
            <w:gridCol w:w="287.447216890595"/>
          </w:tblGrid>
        </w:tblGridChange>
      </w:tblGrid>
      <w:tr>
        <w:tc>
          <w:tcPr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48"/>
                <w:szCs w:val="48"/>
                <w:shd w:fill="auto" w:val="clear"/>
                <w:rtl w:val="0"/>
              </w:rPr>
              <w:t xml:space="preserve">Chris &amp; Emilia�s Research Project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36"/>
                <w:szCs w:val="36"/>
                <w:shd w:fill="auto" w:val="clear"/>
                <w:rtl w:val="0"/>
              </w:rPr>
              <w:t xml:space="preserve">Mr. Thiel�s AP Biology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color w:val="ffff00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36"/>
                <w:szCs w:val="36"/>
                <w:shd w:fill="auto" w:val="clear"/>
                <w:rtl w:val="0"/>
              </w:rPr>
              <w:t xml:space="preserve">�2001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2"/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 ������������������������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 �������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 ������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e01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 ������Copyright � 2001 Chris Grigsby, Amador Valley High School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