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dd0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dd0000"/>
                <w:sz w:val="72"/>
                <w:szCs w:val="72"/>
                <w:shd w:fill="auto" w:val="clear"/>
                <w:rtl w:val="0"/>
              </w:rPr>
              <w:t xml:space="preserve">Data/Analysis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22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002200"/>
                <w:sz w:val="36"/>
                <w:szCs w:val="36"/>
                <w:shd w:fill="auto" w:val="clear"/>
                <w:rtl w:val="0"/>
              </w:rPr>
              <w:t xml:space="preserve">GRAPHS/ANALYSIS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22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(fig 1.a)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</w:t>
                  </w:r>
                </w:p>
                <w:tbl>
                  <w:tblPr>
                    <w:tblStyle w:val="Table3"/>
                    <w:tblW w:w="3750.2999999999997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875.1499999999999"/>
                    <w:gridCol w:w="1875.1499999999999"/>
                    <w:tblGridChange w:id="0">
                      <w:tblGrid>
                        <w:gridCol w:w="1875.1499999999999"/>
                        <w:gridCol w:w="1875.1499999999999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Concentrations of (GSPE)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Average zone of inhibition (mm)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5.83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.75%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5.04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3.41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.25%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2.33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(fig 1.b)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2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708.6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854.315"/>
                    <w:gridCol w:w="1854.315"/>
                    <w:tblGridChange w:id="0">
                      <w:tblGrid>
                        <w:gridCol w:w="1854.315"/>
                        <w:gridCol w:w="1854.315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Concentrations of (GSPE)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Average zone of inhibition (mm)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4.29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.75%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3.29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2.46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.25%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1.13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(fig 1.c)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3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3750.2999999999997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800.1439999999998"/>
                    <w:gridCol w:w="1950.156"/>
                    <w:tblGridChange w:id="0">
                      <w:tblGrid>
                        <w:gridCol w:w="1800.1439999999998"/>
                        <w:gridCol w:w="1950.156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Concentrations of (GSPE)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i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i w:val="1"/>
                            <w:shd w:fill="auto" w:val="clear"/>
                            <w:rtl w:val="0"/>
                          </w:rPr>
                          <w:t xml:space="preserve">Average zone of inhibition (mm)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1.5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.75%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.875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.542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.25%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These tables show the average zones of inhibition for Grape Seed Extract over a 3 day period at different concentrations. Visually we can see all 4 concentrations for each day. Notice that the zones of inhibition all get progressively smaller as the days pass.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000.3199999999997"/>
              <w:gridCol w:w="4333.68"/>
              <w:tblGridChange w:id="0">
                <w:tblGrid>
                  <w:gridCol w:w="4000.3199999999997"/>
                  <w:gridCol w:w="4333.6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(fig 2.a)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These tables represent a 95% Confidence Interval of the zones of inhibition for each day and concentration. The Confidence Interval(CI) states that in future studies 95% of all zone averages will fall in the CI range. Each mark on the lines represent the observed averages in this study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500.2799999999997"/>
              <w:gridCol w:w="4833.719999999999"/>
              <w:tblGridChange w:id="0">
                <w:tblGrid>
                  <w:gridCol w:w="3500.2799999999997"/>
                  <w:gridCol w:w="4833.71999999999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(fig 3.a)</w:t>
                  </w:r>
                </w:p>
                <w:tbl>
                  <w:tblPr>
                    <w:tblStyle w:val="Table8"/>
                    <w:tblW w:w="3470.2799999999997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735.1399999999999"/>
                    <w:gridCol w:w="1735.1399999999999"/>
                    <w:tblGridChange w:id="0">
                      <w:tblGrid>
                        <w:gridCol w:w="1735.1399999999999"/>
                        <w:gridCol w:w="1735.1399999999999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Concentrations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95% Confidence Interval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5.83 +/- 0.426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.75%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5.04 +/- 0.643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3.41 +/- 0.537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.25%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2.33 +/- 0.424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