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Conclusion</w:t>
      </w: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sz w:val="24"/>
          <w:szCs w:val="24"/>
          <w:vertAlign w:val="baseline"/>
          <w:rtl w:val="0"/>
        </w:rPr>
        <w:t xml:space="preserve">Based on our experiment, the data seems to favor our hypothesis. It is seen in our graphs, data, and results, that the sulfur concentration did seem to have some effect on bacterial growth compared to just the chromatography paper and distilled water. We can conclude that distilled water and chromatography paper has no effect on bacteria at all. This experiment is a foundation experiment that opens doors to other research dealing with plants and antibiotics. Even with 3 trials, our experiment didn’t give strong enough data to flat out state that our hypothesis was 100% correct. </w:t>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 xml:space="preserve">Sulfur has already been found to carry an antibacterial trait. It has been proved that sulfur pills have been used as an antibiotic. Our best bet is that if you put a large chunk of sulfur in a bacteria filled petri dish, the bacteria will most likely disperse from that area. </w:t>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 xml:space="preserve">Bentgrass was used because species of bentgrass have been found in the Hot Springs of Yellowstone Park. It was a plant that we knew could live in sulfuric conditions and grow exceptionally well. </w:t>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sz w:val="24"/>
          <w:szCs w:val="24"/>
          <w:vertAlign w:val="baseline"/>
          <w:rtl w:val="0"/>
        </w:rPr>
        <w:t xml:space="preserve">Our findings are an important start to other experiments to come.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