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8"/>
                            <w:szCs w:val="28"/>
                          </w:rPr>
                        </w:pPr>
                        <w:r w:rsidDel="00000000" w:rsidR="00000000" w:rsidRPr="00000000">
                          <w:rPr>
                            <w:rFonts w:ascii="Verdana" w:cs="Verdana" w:eastAsia="Verdana" w:hAnsi="Verdana"/>
                            <w:b w:val="1"/>
                            <w:color w:val="000080"/>
                            <w:sz w:val="28"/>
                            <w:szCs w:val="28"/>
                            <w:rtl w:val="0"/>
                          </w:rPr>
                          <w:t xml:space="preserve">Statistical Analysis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Non-emotional v. Emotional classes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The first test we preformed was a two sample T-test.  We used this test to determine if there is evidence that the students who saw the non-emotional video remembered more than the students who saw the emotional video.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Ho=p1=p2-The average test score of the students who saw the non-emotional video will be equal to the average test score of the students who watched the emotional video.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Ha=p1&lt;p2-The average test score of the students who saw the non-emotional video is less than the average test score of the students who saw the emotional video.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We will use a two sample T-test because both of the samples are greater than 30 and there are no outliers in either of the samples.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T-value= -2.88      P-value= .002     df= 487.59</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After performing this T-test we are able to reject our null hypothesis at a 5% level.  Our small P-value shows statistically significant evidence that the students who saw the emotional video received better test scores on average than the students who saw the non-emotional video.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Males v. Females within the emotional classes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The second test we did was a two sample T-test.  We used this test to find out if the females who saw the emotional video had a statistically significant difference in their test scores than the males who saw the emotional video.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Ho=p1=p2-The average quiz score of the females who saw the emotional video will be equal to the average quiz score of the males who saw the emotional video.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Ha=p1&lt;p2-The average quiz score of the females who saw the emotional video is greater than the average quiz score of the males who saw the emotional video.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We are able to use a two sample T-test because the sample size is greater than 30.  There are no outliers in the sample of the males, but there is one outlier in the sample with the females.  Also, this is not an SRS, so view the results with caution.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T-value= -4.57       P-value= .0000039      df= 243.311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4</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When testing at a 5% level we are able to reject our null hypothesis.  This test gives us a very low P-value and therefore a significant amount of statistical evidence to suggests that females do retain more information from an emotional situation than males in the same emotional situation.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Gender and Emotional Rating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The third test we did was a chi-squared test. This test was designed to test if there is an association between gender and emotional rating.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Ho= There is no association between gender and the emotional rating felt in both the emotional and non-emotional classes.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Ha= There is an association between gender and the emotional rating felt in both the emotional and non-emotional classes.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It is safe to use a chi-squared test because all of the expected values are greater than 5.</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3</w:t>
                        </w:r>
                      </w:p>
                      <w:tbl>
                        <w:tblPr>
                          <w:tblStyle w:val="Table5"/>
                          <w:tblW w:w="5970.0" w:type="dxa"/>
                          <w:jc w:val="left"/>
                          <w:tblBorders>
                            <w:top w:color="ffcc99" w:space="0" w:sz="6" w:val="single"/>
                            <w:left w:color="ffcc99" w:space="0" w:sz="6" w:val="single"/>
                            <w:bottom w:color="ffcc99" w:space="0" w:sz="6" w:val="single"/>
                            <w:right w:color="ffcc99" w:space="0" w:sz="6" w:val="single"/>
                            <w:insideH w:color="ffcc99" w:space="0" w:sz="6" w:val="single"/>
                            <w:insideV w:color="ffcc99" w:space="0" w:sz="6" w:val="single"/>
                          </w:tblBorders>
                          <w:tblLayout w:type="fixed"/>
                          <w:tblLook w:val="0600"/>
                        </w:tblPr>
                        <w:tblGrid>
                          <w:gridCol w:w="1185"/>
                          <w:gridCol w:w="1185"/>
                          <w:gridCol w:w="1200"/>
                          <w:gridCol w:w="1200"/>
                          <w:gridCol w:w="1200"/>
                          <w:tblGridChange w:id="0">
                            <w:tblGrid>
                              <w:gridCol w:w="1185"/>
                              <w:gridCol w:w="1185"/>
                              <w:gridCol w:w="1200"/>
                              <w:gridCol w:w="1200"/>
                              <w:gridCol w:w="120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Emotional rating</w:t>
                              </w:r>
                            </w:p>
                          </w:tc>
                          <w:tc>
                            <w:tcPr>
                              <w:gridSpan w:val="2"/>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w:t>
                              </w:r>
                              <w:r w:rsidDel="00000000" w:rsidR="00000000" w:rsidRPr="00000000">
                                <w:rPr>
                                  <w:rFonts w:ascii="Verdana" w:cs="Verdana" w:eastAsia="Verdana" w:hAnsi="Verdana"/>
                                  <w:color w:val="000080"/>
                                  <w:sz w:val="20"/>
                                  <w:szCs w:val="20"/>
                                  <w:u w:val="single"/>
                                  <w:rtl w:val="0"/>
                                </w:rPr>
                                <w:t xml:space="preserve">Observed</w:t>
                              </w:r>
                              <w:r w:rsidDel="00000000" w:rsidR="00000000" w:rsidRPr="00000000">
                                <w:rPr>
                                  <w:rFonts w:ascii="Verdana" w:cs="Verdana" w:eastAsia="Verdana" w:hAnsi="Verdana"/>
                                  <w:color w:val="000080"/>
                                  <w:sz w:val="20"/>
                                  <w:szCs w:val="20"/>
                                  <w:rtl w:val="0"/>
                                </w:rPr>
                                <w:t xml:space="preserve"> </w:t>
                              </w:r>
                            </w:p>
                          </w:tc>
                          <w:tc>
                            <w:tcPr>
                              <w:gridSpan w:val="2"/>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Expected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rtl w:val="0"/>
                                </w:rPr>
                                <w:t xml:space="preserve"> </w:t>
                              </w:r>
                              <w:r w:rsidDel="00000000" w:rsidR="00000000" w:rsidRPr="00000000">
                                <w:rPr>
                                  <w:rFonts w:ascii="Verdana" w:cs="Verdana" w:eastAsia="Verdana" w:hAnsi="Verdana"/>
                                  <w:color w:val="000080"/>
                                  <w:sz w:val="20"/>
                                  <w:szCs w:val="20"/>
                                  <w:u w:val="single"/>
                                  <w:rtl w:val="0"/>
                                </w:rPr>
                                <w:t xml:space="preserve"> M</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u w:val="single"/>
                                  <w:rtl w:val="0"/>
                                </w:rPr>
                                <w:t xml:space="preserve">F</w:t>
                              </w:r>
                              <w:r w:rsidDel="00000000" w:rsidR="00000000" w:rsidRPr="00000000">
                                <w:rPr>
                                  <w:rFonts w:ascii="Verdana" w:cs="Verdana" w:eastAsia="Verdana" w:hAnsi="Verdana"/>
                                  <w:color w:val="000080"/>
                                  <w:sz w:val="20"/>
                                  <w:szCs w:val="20"/>
                                  <w:rtl w:val="0"/>
                                </w:rPr>
                                <w:t xml:space="preserve"> </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rtl w:val="0"/>
                                </w:rPr>
                                <w:t xml:space="preserve">  </w:t>
                              </w:r>
                              <w:r w:rsidDel="00000000" w:rsidR="00000000" w:rsidRPr="00000000">
                                <w:rPr>
                                  <w:rFonts w:ascii="Verdana" w:cs="Verdana" w:eastAsia="Verdana" w:hAnsi="Verdana"/>
                                  <w:color w:val="000080"/>
                                  <w:sz w:val="20"/>
                                  <w:szCs w:val="20"/>
                                  <w:u w:val="single"/>
                                  <w:rtl w:val="0"/>
                                </w:rPr>
                                <w:t xml:space="preserve">M</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80"/>
                                  <w:sz w:val="20"/>
                                  <w:szCs w:val="20"/>
                                  <w:u w:val="single"/>
                                  <w:rtl w:val="0"/>
                                </w:rPr>
                                <w:t xml:space="preserve">F</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77</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37</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60.599</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53.401</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2</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64</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57</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64.32</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56.68</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3</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73</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38</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59.004</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51.996</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4</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40</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72</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59.536</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52.464</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7</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26</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17.542  </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15.458</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Find the sum of    </w:t>
                        </w:r>
                        <w:r w:rsidDel="00000000" w:rsidR="00000000" w:rsidRPr="00000000">
                          <w:rPr>
                            <w:rFonts w:ascii="Verdana" w:cs="Verdana" w:eastAsia="Verdana" w:hAnsi="Verdana"/>
                            <w:color w:val="000080"/>
                            <w:sz w:val="20"/>
                            <w:szCs w:val="20"/>
                            <w:u w:val="single"/>
                            <w:rtl w:val="0"/>
                          </w:rPr>
                          <w:t xml:space="preserve">(observed-expected)</w:t>
                        </w:r>
                        <w:r w:rsidDel="00000000" w:rsidR="00000000" w:rsidRPr="00000000">
                          <w:rPr>
                            <w:rFonts w:ascii="Verdana" w:cs="Verdana" w:eastAsia="Verdana" w:hAnsi="Verdana"/>
                            <w:color w:val="000080"/>
                            <w:sz w:val="20"/>
                            <w:szCs w:val="20"/>
                            <w:vertAlign w:val="superscript"/>
                            <w:rtl w:val="0"/>
                          </w:rPr>
                          <w:t xml:space="preserve">2 </w:t>
                        </w:r>
                        <w:r w:rsidDel="00000000" w:rsidR="00000000" w:rsidRPr="00000000">
                          <w:rPr>
                            <w:rFonts w:ascii="Verdana" w:cs="Verdana" w:eastAsia="Verdana" w:hAnsi="Verdana"/>
                            <w:color w:val="000080"/>
                            <w:sz w:val="20"/>
                            <w:szCs w:val="20"/>
                            <w:rtl w:val="0"/>
                          </w:rPr>
                          <w:t xml:space="preserve">  for all 5 emotional ratings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expected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X2=43.776             df=4                  P-value= .00000000714</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4</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extremely low P-value allows us to reject our null hypothesis at a 5% level.  There is strong statistical evidence to suggest that there is an association between gender and emotional rating felt.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u w:val="single"/>
                          </w:rPr>
                        </w:pPr>
                        <w:r w:rsidDel="00000000" w:rsidR="00000000" w:rsidRPr="00000000">
                          <w:rPr>
                            <w:rFonts w:ascii="Verdana" w:cs="Verdana" w:eastAsia="Verdana" w:hAnsi="Verdana"/>
                            <w:b w:val="1"/>
                            <w:color w:val="000080"/>
                            <w:sz w:val="20"/>
                            <w:szCs w:val="20"/>
                            <w:u w:val="single"/>
                            <w:rtl w:val="0"/>
                          </w:rPr>
                          <w:t xml:space="preserve">Emotional rating v. quiz score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The last test we did was an association of variances test.  This test compared the average test scores of the five different emotional ratings.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Ho= The average test scores for all of the emotional ratings are equal.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Ha= The average test scores for all of the emotional ratings are not equal.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To analyze this data we did an association of variances test.  We entered all of the test scores in the calculator separated into five categories ( five different emotional ratings).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3</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F= 6.546            df=4            Pvalue=.0000362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Step 4</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This small Pvalue allows us to reject our null hypothesis at a 5% level.  This shows statistically significant evidence that the emotional rating does effect the score received on the quiz.</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