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1.   planting the radish seeds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2. what 400 radish sprouts blowing in wind looks like...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3. The basic set up for wind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4. Growth at 10 days                              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5. measurements with a micrometer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6. Taking measurements of height  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         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7 pouring the wax to make cross sections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                                           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  8. preparing cross section...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                        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materials...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materials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