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Raven, Peter H. and co. </w:t>
            </w:r>
            <w:r w:rsidDel="00000000" w:rsidR="00000000" w:rsidRPr="00000000">
              <w:rPr>
                <w:rFonts w:ascii="Georgia" w:cs="Georgia" w:eastAsia="Georgia" w:hAnsi="Georgia"/>
                <w:u w:val="single"/>
                <w:shd w:fill="auto" w:val="clear"/>
                <w:rtl w:val="0"/>
              </w:rPr>
              <w:t xml:space="preserve">Biology of Plants</w:t>
            </w: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. Worth Publishers, Inc. ; New York, NY, 1986.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Communique.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http://www.ulaval.ca/scom/Communiques.de.presse/2000/fervier/   planang.html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Lignin.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http://gened.emc.maricoa.edu/bio/bio181/BIOBK/BioBookglossL.htm#lignin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Height of Tallest Tree.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http://hypertextbook.com/facts/2001/OlgaVapnyar.shtml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Parenchyma and Collenchyma.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http://www/botany.hawaii.edu/faculty/webb/BOTT410Labs/LabsHTML-99/SimpleTissues/simptisx99.html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The Gentle Touch.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http://www.handlow.ac.uk.chelsea2.htm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/botany.hawaii.edu/faculty/webb/BOTT410Labs/LabsHTML-99/SimpleTissues/simptisx99.html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www.handlow.ac.uk.chelsea2.htm/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www.ulaval.ca/scom/Communiques.de.presse/2000/fervier/planang.html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hypertextbook.com/facts/2001/OlgaVapnyar.shtml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gened.emc.maricoa.edu/bio/bio181/BIOBK/BioBookglossL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