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Observations and 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Seeds are planted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2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No development in any of the trays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3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No development in any of the trays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4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No development in any of the trays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5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12 lettuce seeds in the �no light� tray have sprouted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6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2 more lettuce seeds in the �no light� tray have sprouted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7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All of the �no light� lettuce seeds have sprouted,  The lettuce package specified that the lettuce would take seven to ten days to germinate, this is the beginning of that germination period.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8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4 clear lettuce, 1 blue lettuce, 5 red lettuce, also drained excess water form trays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9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1 green lettuce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10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1 clear lettuce,  The lettuce package specified that the lettuce would take seven to ten days to germinate, this is the end of that germination period.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11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2 �no light� bluegrass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12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  3 �no light� bluegrass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13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14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3 �no light� bluegrass,  also added water to trays.  Additional observation:  Clear lettuce and �no light� plants appear to be doing better after germination than most of the others.  According to the bluegrass package the expected seed germination period begins today.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15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2 �no light� bluegrass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16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None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17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  1 �no light� bluegrass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18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None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19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None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20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None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DAY 21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:  Additional germination: None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