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color w:val="ff0033"/>
          <w:highlight w:val="darkBlue"/>
          <w:rtl w:val="0"/>
        </w:rPr>
        <w:t xml:space="preserve">Different types of Scattering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color w:val="ff0033"/>
          <w:sz w:val="22"/>
          <w:szCs w:val="22"/>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rFonts w:ascii="Verdana" w:cs="Verdana" w:eastAsia="Verdana" w:hAnsi="Verdana"/>
          <w:color w:val="ff0033"/>
          <w:sz w:val="22"/>
          <w:szCs w:val="22"/>
          <w:highlight w:val="darkBlue"/>
          <w:rtl w:val="0"/>
        </w:rPr>
        <w:t xml:space="preserve">Refraction: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sz w:val="14"/>
          <w:szCs w:val="14"/>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rFonts w:ascii="Verdana" w:cs="Verdana" w:eastAsia="Verdana" w:hAnsi="Verdana"/>
          <w:sz w:val="14"/>
          <w:szCs w:val="14"/>
          <w:highlight w:val="darkBlue"/>
          <w:rtl w:val="0"/>
        </w:rPr>
        <w:t xml:space="preserve"> Refraction is the tendency for light to bend in different directions when going through different mediums. This behavior is mainly controlled by density. The best environment for refraction would be in a vacuum.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color w:val="3366ff"/>
          <w:sz w:val="18"/>
          <w:szCs w:val="18"/>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Verdana" w:cs="Verdana" w:eastAsia="Verdana" w:hAnsi="Verdana"/>
          <w:color w:val="ff0033"/>
          <w:sz w:val="22"/>
          <w:szCs w:val="22"/>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rFonts w:ascii="Verdana" w:cs="Verdana" w:eastAsia="Verdana" w:hAnsi="Verdana"/>
          <w:color w:val="ff0033"/>
          <w:sz w:val="22"/>
          <w:szCs w:val="22"/>
          <w:highlight w:val="darkBlue"/>
          <w:rtl w:val="0"/>
        </w:rPr>
        <w:t xml:space="preserve">Diffraction: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sz w:val="14"/>
          <w:szCs w:val="14"/>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rFonts w:ascii="Verdana" w:cs="Verdana" w:eastAsia="Verdana" w:hAnsi="Verdana"/>
          <w:sz w:val="14"/>
          <w:szCs w:val="14"/>
          <w:highlight w:val="darkBlue"/>
          <w:rtl w:val="0"/>
        </w:rPr>
        <w:t xml:space="preserve"> This is the tendency for light to bend around a barrier. This behavior is controlled by the size of the barrier.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