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color w:val="ff0033"/>
          <w:highlight w:val="darkBlue"/>
          <w:rtl w:val="0"/>
        </w:rPr>
        <w:t xml:space="preserve">GRAPHS ON SUBSTRATES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ff0033"/>
          <w:highlight w:val="darkBlu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 1) Each substrate that we used had four trials.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 2) We made a run for each substrate --a collection period of 10 seconds was timed. (we had a 450 gram weight placed ontop of each of the substrates when making runs.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Verdana" w:cs="Verdana" w:eastAsia="Verdana" w:hAnsi="Verdana"/>
          <w:color w:val="3366ff"/>
          <w:sz w:val="18"/>
          <w:szCs w:val="18"/>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sz w:val="14"/>
          <w:szCs w:val="14"/>
          <w:highlight w:val="darkBlue"/>
        </w:rPr>
      </w:pPr>
      <w:r w:rsidDel="00000000" w:rsidR="00000000" w:rsidRPr="00000000">
        <w:rPr>
          <w:rFonts w:ascii="Arial Unicode MS" w:cs="Arial Unicode MS" w:eastAsia="Arial Unicode MS" w:hAnsi="Arial Unicode MS"/>
          <w:color w:val="3366ff"/>
          <w:sz w:val="18"/>
          <w:szCs w:val="18"/>
          <w:highlight w:val="darkBlue"/>
          <w:rtl w:val="0"/>
        </w:rPr>
        <w:t xml:space="preserve">●</w:t>
      </w:r>
      <w:r w:rsidDel="00000000" w:rsidR="00000000" w:rsidRPr="00000000">
        <w:rPr>
          <w:rFonts w:ascii="Verdana" w:cs="Verdana" w:eastAsia="Verdana" w:hAnsi="Verdana"/>
          <w:sz w:val="14"/>
          <w:szCs w:val="14"/>
          <w:highlight w:val="darkBlue"/>
          <w:rtl w:val="0"/>
        </w:rPr>
        <w:t xml:space="preserve"> 3) Based on our prediction we were looking for higher intensities for bigger particles. Each particle as mentioned before released photons therefore the measurements were made in LUX. We also compared the mean for each of the four runs.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