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0033"/>
          <w:highlight w:val="darkBlue"/>
        </w:rPr>
      </w:pPr>
      <w:r w:rsidDel="00000000" w:rsidR="00000000" w:rsidRPr="00000000">
        <w:rPr>
          <w:color w:val="ff0033"/>
          <w:highlight w:val="darkBlue"/>
          <w:rtl w:val="0"/>
        </w:rPr>
        <w:t xml:space="preserve">Conclusion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ff0033"/>
          <w:highlight w:val="darkBlu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Verdana" w:cs="Verdana" w:eastAsia="Verdana" w:hAnsi="Verdana"/>
          <w:color w:val="3366ff"/>
          <w:sz w:val="18"/>
          <w:szCs w:val="18"/>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sz w:val="14"/>
          <w:szCs w:val="14"/>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rFonts w:ascii="Verdana" w:cs="Verdana" w:eastAsia="Verdana" w:hAnsi="Verdana"/>
          <w:sz w:val="14"/>
          <w:szCs w:val="14"/>
          <w:highlight w:val="darkBlue"/>
          <w:rtl w:val="0"/>
        </w:rPr>
        <w:t xml:space="preserve">After the analysis of our data there are many things that support our prediction, however there is also room that may question the validity of our results. Much of this error has come from the lack of specificity in our methodology which has hindered our results severely. So yes particle scattering can be used to identify pathogens, however it is not the only key to this complex puzzle�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color w:val="3366ff"/>
          <w:sz w:val="18"/>
          <w:szCs w:val="18"/>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Verdana" w:cs="Verdana" w:eastAsia="Verdana" w:hAnsi="Verdana"/>
          <w:color w:val="3366ff"/>
          <w:sz w:val="18"/>
          <w:szCs w:val="18"/>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