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55"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before="225"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05">
            <w:pPr>
              <w:pStyle w:val="Heading4"/>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Materials needed: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Individuals to survey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Well-developed survey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Master-list of English classes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Resources: books, journals, websites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Based on research we had collected previously, we developed questions that we felt would give us the necessary information to draw conclusions about the topic. We then obtained a master-list of English classes at Amador Valley High School and numbered them. Using a calculator, we randomly selected classes to survey. With the permission of those teachers, we came to the specific periods selected randomly, and surveyed those students. The teachers that we selected were: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Bartholomew: 2nd and 7th period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Damon: 6th period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Heller: 5th period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Robbins: 3rd and 7th period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Searle: 5th period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Souder: 2nd period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categorized the students based on how often they were sick per year, and how long their sickness lasted. After separating them into their categories, we compared their food and exercise habits, stress levels, and amount of sleep per night.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graph compared the stress levels of those we classified as "well individuals" and "sick individuals". We decided to take those who were sick the least amount of times, with the shortest duration of sickness, and labeled them the "well individuals". We took the responses of those who were sick the most often and had a long duration sickness, and labeled them "sick individuals". By comparing the opposites, we hoped to find that our data showed obvious differences between those who were "well" and those who were "sick"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Although our data was not a successful as we would have hoped it does show that there were higher stress levels among the "sick individuals".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AP2002/index.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procedure2.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