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3.7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365760</wp:posOffset>
            </wp:positionV>
            <wp:extent cx="5486400" cy="328549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5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3.8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434340</wp:posOffset>
            </wp:positionH>
            <wp:positionV relativeFrom="paragraph">
              <wp:posOffset>375920</wp:posOffset>
            </wp:positionV>
            <wp:extent cx="5120640" cy="306641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66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All graphs are based on averages from the five dishes of each concentration.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see exact results see Table 3.6.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