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Table 4.1</w:t>
      </w:r>
    </w:p>
    <w:tbl>
      <w:tblPr>
        <w:tblStyle w:val="Table1"/>
        <w:tblW w:w="1388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  <w:gridCol w:w="540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50"/>
        <w:tblGridChange w:id="0">
          <w:tblGrid>
            <w:gridCol w:w="73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450"/>
            <w:gridCol w:w="450"/>
            <w:gridCol w:w="450"/>
            <w:gridCol w:w="540"/>
            <w:gridCol w:w="45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50"/>
          </w:tblGrid>
        </w:tblGridChange>
      </w:tblGrid>
      <w:tr>
        <w:tc>
          <w:tcPr>
            <w:gridSpan w:val="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1"/>
              </w:num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25 Seeds-Group 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Concentration </w:t>
            </w:r>
            <w:r w:rsidDel="00000000" w:rsidR="00000000" w:rsidRPr="00000000">
              <w:rPr>
                <w:u w:val="singl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  <w:t xml:space="preserve">          Seeds 25                                                      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 Began Testing: January/21/2002                                            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Dish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ffffff"/>
                <w:highlight w:val="dark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ffffff"/>
                <w:highlight w:val="dark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937760" cy="2957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5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Figure 4.3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5509895</wp:posOffset>
            </wp:positionH>
            <wp:positionV relativeFrom="paragraph">
              <wp:posOffset>412115</wp:posOffset>
            </wp:positionV>
            <wp:extent cx="1460500" cy="5715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