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Recommendations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Plan out every step of the experiment and remember to stay on time and do not procrastinate.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Consider all factors that may produce bias within the results including the sample size, time of day, and even the wording of the questions.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Conduct an extensive research to ensure a plausible experiment with likely significance.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Contact teachers early if a survey and the cooperation of teachers and students are required. make sure to pick a day in which all teachers can agree to, so that the surveys will be done within a 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Always have experimental classes and leave more time between the experimental class and the actual day of testing all classes, to have sufficient time to confer with other teachers and to revise the survey.</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jc w:val="cente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jc w:val="center"/>
              <w:rPr>
                <w:sz w:val="28"/>
                <w:szCs w:val="28"/>
                <w:shd w:fill="auto" w:val="clear"/>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jc w:val="cente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Recommendation</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recommendation.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home.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acknowled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