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2"/>
          <w:szCs w:val="32"/>
          <w:u w:val="single"/>
          <w:vertAlign w:val="baseline"/>
        </w:rPr>
      </w:pPr>
      <w:r w:rsidDel="00000000" w:rsidR="00000000" w:rsidRPr="00000000">
        <w:rPr>
          <w:b w:val="1"/>
          <w:sz w:val="32"/>
          <w:szCs w:val="32"/>
          <w:u w:val="single"/>
          <w:vertAlign w:val="baseline"/>
          <w:rtl w:val="0"/>
        </w:rPr>
        <w:t xml:space="preserve">Bibliography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Kormanik, Beth “Techniques Aim at Stimulating Kids Brains”</w:t>
        <w:br w:type="textWrapping"/>
        <w:t xml:space="preserve">Milwaukee Journal Sentinel    Jan 19, 2002</w:t>
      </w:r>
    </w:p>
    <w:p w:rsidR="00000000" w:rsidDel="00000000" w:rsidP="00000000" w:rsidRDefault="00000000" w:rsidRPr="00000000" w14:paraId="00000005">
      <w:pPr>
        <w:ind w:left="360" w:firstLine="0"/>
        <w:rPr>
          <w:vertAlign w:val="baseline"/>
        </w:rPr>
      </w:pPr>
      <w:hyperlink r:id="rId6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http://www.jsonline.com/news/wauk/jan02/14134.asp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Canning-Wilson Christine “Visuals and Language Learning: Is there a Connection?”</w:t>
      </w:r>
    </w:p>
    <w:p w:rsidR="00000000" w:rsidDel="00000000" w:rsidP="00000000" w:rsidRDefault="00000000" w:rsidRPr="00000000" w14:paraId="00000008">
      <w:pPr>
        <w:ind w:left="360" w:firstLine="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Center for Excellence in Applied Research and Training  </w:t>
      </w:r>
      <w:r w:rsidDel="00000000" w:rsidR="00000000" w:rsidRPr="00000000">
        <w:rPr>
          <w:i w:val="0"/>
          <w:vertAlign w:val="baseline"/>
          <w:rtl w:val="0"/>
        </w:rPr>
        <w:t xml:space="preserve">48, February 2001</w:t>
        <w:br w:type="textWrapping"/>
      </w:r>
      <w:hyperlink r:id="rId7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http://www.eltnewsletter.com/back/Feb2001/art482001.htm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 w:hanging="360"/>
        <w:rPr>
          <w:vertAlign w:val="baseline"/>
        </w:rPr>
      </w:pPr>
      <w:r w:rsidDel="00000000" w:rsidR="00000000" w:rsidRPr="00000000">
        <w:rPr>
          <w:i w:val="0"/>
          <w:vertAlign w:val="baseline"/>
          <w:rtl w:val="0"/>
        </w:rPr>
        <w:t xml:space="preserve">Holliday William “Research matters to the Science Teacher”</w:t>
        <w:br w:type="textWrapping"/>
      </w:r>
      <w:r w:rsidDel="00000000" w:rsidR="00000000" w:rsidRPr="00000000">
        <w:rPr>
          <w:vertAlign w:val="baseline"/>
          <w:rtl w:val="0"/>
        </w:rPr>
        <w:t xml:space="preserve">A Guide to Assessing, Selecting, and Using Science Textbook Visuals</w:t>
        <w:br w:type="textWrapping"/>
      </w:r>
      <w:hyperlink r:id="rId8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http://www.educ.sfu.ca/narstsite/research/textbook.htm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hanging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Barlow, L. and Canning, C., (1998). "Test writing for distant learning students", In C.Coombe (ed.)., </w:t>
      </w:r>
      <w:r w:rsidDel="00000000" w:rsidR="00000000" w:rsidRPr="00000000">
        <w:rPr>
          <w:u w:val="single"/>
          <w:vertAlign w:val="baseline"/>
          <w:rtl w:val="0"/>
        </w:rPr>
        <w:t xml:space="preserve">Current Trends in English Language Testing, </w:t>
      </w:r>
      <w:r w:rsidDel="00000000" w:rsidR="00000000" w:rsidRPr="00000000">
        <w:rPr>
          <w:vertAlign w:val="baseline"/>
          <w:rtl w:val="0"/>
        </w:rPr>
        <w:t xml:space="preserve">TESOL Arabia CTELT Conference Proceedings, 1:1, from the 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vertAlign w:val="baseline"/>
          <w:rtl w:val="0"/>
        </w:rPr>
        <w:t xml:space="preserve"> Annual Current Trends in English Language Teaching Conference, hosted by United Arab Emirates University, May 15, 1997. </w:t>
      </w:r>
      <w:hyperlink r:id="rId9">
        <w:r w:rsidDel="00000000" w:rsidR="00000000" w:rsidRPr="00000000">
          <w:rPr>
            <w:color w:val="0000ff"/>
            <w:u w:val="single"/>
            <w:vertAlign w:val="baseline"/>
            <w:rtl w:val="0"/>
          </w:rPr>
          <w:t xml:space="preserve">http://www.eltnewsletter.com/back/Feb2001/art482001.htm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hanging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Chall, J. S., &amp; Squire, J. R. (1991). The publishing industry and textbooks. In R. Barr, M. Karnil, P. Mosenthal and P. D. Pearson (Eds.), </w:t>
      </w:r>
      <w:r w:rsidDel="00000000" w:rsidR="00000000" w:rsidRPr="00000000">
        <w:rPr>
          <w:i w:val="1"/>
          <w:vertAlign w:val="baseline"/>
          <w:rtl w:val="0"/>
        </w:rPr>
        <w:t xml:space="preserve">Handbook of reading research</w:t>
      </w:r>
      <w:r w:rsidDel="00000000" w:rsidR="00000000" w:rsidRPr="00000000">
        <w:rPr>
          <w:vertAlign w:val="baseline"/>
          <w:rtl w:val="0"/>
        </w:rPr>
        <w:t xml:space="preserve"> (vol. 1). New York: Longman, Inc.</w:t>
      </w:r>
    </w:p>
    <w:p w:rsidR="00000000" w:rsidDel="00000000" w:rsidP="00000000" w:rsidRDefault="00000000" w:rsidRPr="00000000" w14:paraId="0000000F">
      <w:pPr>
        <w:ind w:left="360" w:hanging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hanging="360"/>
        <w:rPr>
          <w:i w:val="1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Holliday, W. G. &amp; McGuire, B. (in press). How can comprehension focus students' attention and enhance concept learning of a computer-animated science lesson? </w:t>
      </w:r>
      <w:r w:rsidDel="00000000" w:rsidR="00000000" w:rsidRPr="00000000">
        <w:rPr>
          <w:i w:val="1"/>
          <w:vertAlign w:val="baseline"/>
          <w:rtl w:val="0"/>
        </w:rPr>
        <w:t xml:space="preserve">Journal of Research in Science Teaching.</w:t>
      </w:r>
    </w:p>
    <w:p w:rsidR="00000000" w:rsidDel="00000000" w:rsidP="00000000" w:rsidRDefault="00000000" w:rsidRPr="00000000" w14:paraId="00000011">
      <w:pPr>
        <w:ind w:left="360" w:hanging="360"/>
        <w:rPr>
          <w:i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Willows, D. M. &amp; Houghton, H. A. (1987). </w:t>
      </w:r>
      <w:r w:rsidDel="00000000" w:rsidR="00000000" w:rsidRPr="00000000">
        <w:rPr>
          <w:i w:val="1"/>
          <w:vertAlign w:val="baseline"/>
          <w:rtl w:val="0"/>
        </w:rPr>
        <w:t xml:space="preserve">The psychology of illustrations: Basic research</w:t>
      </w:r>
      <w:r w:rsidDel="00000000" w:rsidR="00000000" w:rsidRPr="00000000">
        <w:rPr>
          <w:vertAlign w:val="baseline"/>
          <w:rtl w:val="0"/>
        </w:rPr>
        <w:t xml:space="preserve"> (vol. 1). New York: Springer-Verla. </w:t>
      </w:r>
    </w:p>
    <w:p w:rsidR="00000000" w:rsidDel="00000000" w:rsidP="00000000" w:rsidRDefault="00000000" w:rsidRPr="00000000" w14:paraId="00000013">
      <w:pPr>
        <w:ind w:left="360" w:hanging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Canning, C., Barlow, L. and C. Kawar (1998). "Computer Generated Visuals and Reading’. In C. Coombe (ed.) Current Trends in English Language Testing, v.2, October 1998, pp. 157-164 TESOL Arabia Conference Proceedings held at Al Ain University, Al Ain, United Arab Emirates, May 6, 1998.2:1, October 1998 pp.157-164</w:t>
      </w:r>
    </w:p>
    <w:p w:rsidR="00000000" w:rsidDel="00000000" w:rsidP="00000000" w:rsidRDefault="00000000" w:rsidRPr="00000000" w14:paraId="00000015">
      <w:pPr>
        <w:ind w:left="360" w:hanging="36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hanging="360"/>
        <w:rPr>
          <w:i w:val="0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Mayer, R. E., &amp; Gallini, J. K. (1990). When is an illustration worth ten thousand words? </w:t>
      </w:r>
      <w:r w:rsidDel="00000000" w:rsidR="00000000" w:rsidRPr="00000000">
        <w:rPr>
          <w:i w:val="1"/>
          <w:vertAlign w:val="baseline"/>
          <w:rtl w:val="0"/>
        </w:rPr>
        <w:t xml:space="preserve">Journal of Educational Psychology</w:t>
      </w:r>
      <w:r w:rsidDel="00000000" w:rsidR="00000000" w:rsidRPr="00000000">
        <w:rPr>
          <w:vertAlign w:val="baseline"/>
          <w:rtl w:val="0"/>
        </w:rPr>
        <w:t xml:space="preserve"> , 82, 715-726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after="100" w:before="100" w:lineRule="auto"/>
    </w:pPr>
    <w:rPr>
      <w:b w:val="1"/>
      <w:color w:val="000000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eltnewsletter.com/back/Feb2001/art482001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jsonline.com/news/wauk/jan02/14134.asp" TargetMode="External"/><Relationship Id="rId7" Type="http://schemas.openxmlformats.org/officeDocument/2006/relationships/hyperlink" Target="http://www.eltnewsletter.com/back/Feb2001/art482001.htm" TargetMode="External"/><Relationship Id="rId8" Type="http://schemas.openxmlformats.org/officeDocument/2006/relationships/hyperlink" Target="http://www.educ.sfu.ca/narstsite/research/textboo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