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0.54888507718698"/>
        <w:gridCol w:w="602.0583190394511"/>
        <w:gridCol w:w="602.0583190394511"/>
        <w:gridCol w:w="160.54888507718698"/>
        <w:gridCol w:w="3756.843910806175"/>
        <w:gridCol w:w="3756.843910806175"/>
        <w:gridCol w:w="160.54888507718698"/>
        <w:gridCol w:w="160.54888507718698"/>
        <w:tblGridChange w:id="0">
          <w:tblGrid>
            <w:gridCol w:w="160.54888507718698"/>
            <w:gridCol w:w="602.0583190394511"/>
            <w:gridCol w:w="602.0583190394511"/>
            <w:gridCol w:w="160.54888507718698"/>
            <w:gridCol w:w="3756.843910806175"/>
            <w:gridCol w:w="3756.843910806175"/>
            <w:gridCol w:w="160.54888507718698"/>
            <w:gridCol w:w="160.54888507718698"/>
          </w:tblGrid>
        </w:tblGridChange>
      </w:tblGrid>
      <w:tr>
        <w:trPr>
          <w:trHeight w:val="20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80" w:hRule="atLeast"/>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.navigate</w:t>
            </w:r>
          </w:p>
        </w:tc>
        <w:tc>
          <w:tcPr>
            <w:shd w:fill="96a8ae"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color w:val="96a8ae"/>
                <w:sz w:val="16"/>
                <w:szCs w:val="16"/>
                <w:shd w:fill="auto" w:val="clear"/>
              </w:rPr>
            </w:pPr>
            <w:r w:rsidDel="00000000" w:rsidR="00000000" w:rsidRPr="00000000">
              <w:rPr>
                <w:rFonts w:ascii="Verdana" w:cs="Verdana" w:eastAsia="Verdana" w:hAnsi="Verdana"/>
                <w:color w:val="96a8ae"/>
                <w:sz w:val="16"/>
                <w:szCs w:val="16"/>
                <w:shd w:fill="auto" w:val="clear"/>
                <w:rtl w:val="0"/>
              </w:rPr>
              <w:t xml:space="preserve">ph34r the </w:t>
            </w:r>
            <w:r w:rsidDel="00000000" w:rsidR="00000000" w:rsidRPr="00000000">
              <w:rPr>
                <w:rFonts w:ascii="Verdana" w:cs="Verdana" w:eastAsia="Verdana" w:hAnsi="Verdana"/>
                <w:color w:val="cccccc"/>
                <w:sz w:val="16"/>
                <w:szCs w:val="16"/>
                <w:shd w:fill="auto" w:val="clear"/>
                <w:rtl w:val="0"/>
              </w:rPr>
              <w:t xml:space="preserve">.hypothesis/prediction </w:t>
            </w:r>
            <w:r w:rsidDel="00000000" w:rsidR="00000000" w:rsidRPr="00000000">
              <w:rPr>
                <w:rFonts w:ascii="Verdana" w:cs="Verdana" w:eastAsia="Verdana" w:hAnsi="Verdana"/>
                <w:color w:val="96a8ae"/>
                <w:sz w:val="16"/>
                <w:szCs w:val="16"/>
                <w:shd w:fill="auto" w:val="clear"/>
                <w:rtl w:val="0"/>
              </w:rPr>
              <w:t xml:space="preserve">_________</w:t>
            </w:r>
          </w:p>
        </w:tc>
        <w:tc>
          <w:tcPr>
            <w:shd w:fill="96a8ae"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96a8ae"/>
                <w:sz w:val="16"/>
                <w:szCs w:val="16"/>
                <w:shd w:fill="auto" w:val="clear"/>
              </w:rPr>
            </w:pP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[home]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[abstract]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[introduction]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[hypothesis]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[experiment]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[data]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[conclusion]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[we recommend]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[daily log]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[other]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[bibliography]</w:t>
            </w:r>
          </w:p>
        </w:tc>
        <w:tc>
          <w:tcPr>
            <w:shd w:fill="96a8ae"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Hypothesis:</w:t>
            </w:r>
            <w:r w:rsidDel="00000000" w:rsidR="00000000" w:rsidRPr="00000000">
              <w:rPr>
                <w:rFonts w:ascii="Verdana" w:cs="Verdana" w:eastAsia="Verdana" w:hAnsi="Verdana"/>
                <w:sz w:val="24"/>
                <w:szCs w:val="24"/>
                <w:shd w:fill="auto" w:val="clear"/>
                <w:rtl w:val="0"/>
              </w:rPr>
              <w:t xml:space="preserve"> There isn’t consistency in the diagnosis of ADD among children and some diagnosis procedures seem to be more effective than others.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Fonts w:ascii="Verdana" w:cs="Verdana" w:eastAsia="Verdana" w:hAnsi="Verdana"/>
                <w:b w:val="1"/>
                <w:sz w:val="24"/>
                <w:szCs w:val="24"/>
                <w:shd w:fill="auto" w:val="clear"/>
                <w:rtl w:val="0"/>
              </w:rPr>
              <w:t xml:space="preserve">Prediction</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If different doctors diagnose ADD using different procedures than there would not be consistency in the diagnosis of ADD. If some methods of diagnosis provide children with the correct disorder and treatment for their symptoms and other methods sometimes fail to provide children with the correct disorder and medication for their symptoms than some methods of diagnosis are more effective than others.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80" w:hRule="atLeast"/>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