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1"/>
        <w:pBdr>
          <w:top w:space="0" w:sz="0" w:val="nil"/>
          <w:left w:space="0" w:sz="0" w:val="nil"/>
          <w:bottom w:space="0" w:sz="0" w:val="nil"/>
          <w:right w:space="0" w:sz="0" w:val="nil"/>
          <w:between w:space="0" w:sz="0" w:val="nil"/>
        </w:pBdr>
        <w:shd w:fill="auto" w:val="clear"/>
        <w:spacing w:after="60" w:before="240" w:lineRule="auto"/>
        <w:jc w:val="center"/>
        <w:rPr/>
      </w:pPr>
      <w:r w:rsidDel="00000000" w:rsidR="00000000" w:rsidRPr="00000000">
        <w:rPr>
          <w:rtl w:val="0"/>
        </w:rPr>
        <w:t xml:space="preserve">Hypothesis and Prediction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 hypothesize that since the anemone prospers with light and water, that it will be found to mostly populate well lit and deeper areas of the tide pool.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Fonts w:ascii="Arial" w:cs="Arial" w:eastAsia="Arial" w:hAnsi="Arial"/>
          <w:rtl w:val="0"/>
        </w:rPr>
        <w:t xml:space="preserve">If the great green sea anemone is greatly benefited by the algae that it lives with and therefore needs sun to support it, but also needs water to keep it from drying up, then there will be more anemones in the deeper and more sun exposed areas of the tide pool.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0"/>
      <w:sz w:val="32"/>
      <w:szCs w:val="3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