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diseases are required to be reported by a licensed veterinarian or any person operating an animal or poultry disease diagnostic laboratory pursuant to Section 9101 of the Food and Agricultural Code. They should be reported by the specified method to:</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Department of Food and Agriculture, Animal Health Branch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1220 N Street, Room A-107 Sacramento, CA 95814,</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Telephone number (916) 654-1447</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Fax number (916) 653-2215</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Emergency Animal Diseases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by telephone within 24 hours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African horse sickness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African swine fever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African trypanosomiasis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Anthrax</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Glanders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Bovine piroplasmosis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Bovine pleuropneumonia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Cattle scabies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Dourine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Equine piroplasmosis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Foot-and-mouth disease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Fowl plague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Heartwater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Hog Cholera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Ornithosis of poultry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Rift Valley fever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Rinderpest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Scrapie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Screwworm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Sheep scabies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Venezuelan equine encephalomyelitis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Vesicular exanthema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Vesicular stomatitis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Velogenic,viscerotropic newcastle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Domestic Diseases of Regulatory Importance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Report by mail or fax within 3 days of discovery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Bluetongue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Bovine leukemia</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Brucellosis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Contagious agalactia of goats &amp; sheep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Equine encephalomyelitis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Equine infectious anemia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Equine rhinopneumonitis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Equine viral arteritis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Johne’s disease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Listeriosis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Malignant catarrhal fever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Pullorum disease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Rabies in livestock</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Swine erysipelas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Tuberculosis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