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Diseases to be Reported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diseases are required to be reported by a licensed veterinarian or any person operating an animal or poultry disease diagnostic laboratory pursuant to Section 9101 of the Food and Agricultural Code. They should be reported by the specified method to: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 of Food and Agriculture, Animal Health Branch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1220 N Street, Room A-107 Sacramento, CA 95814,</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Telephone number (916) 654-1447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Fax number (916) 653-2215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Emergency Animal Diseases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z w:val="28"/>
                <w:szCs w:val="28"/>
                <w:shd w:fill="auto" w:val="clear"/>
                <w:rtl w:val="0"/>
              </w:rPr>
              <w:t xml:space="preserve">Report by telephone within 24 hours</w:t>
            </w:r>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African horse sickness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African swine fever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African trypanosomiasis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Anthrax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Glanders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Bovine piroplasmosis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Bovine pleuropneumonia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Cattle scabies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Dourine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Equine piroplasmosis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Foot-and-mouth disease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Fowl plague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Heartwater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Hog Cholera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Ornithosis of poultry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Rift Valley fever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Rinderpest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Scrapie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Screwworm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Sheep scabies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Venezuelan equine encephalomyelitis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Vesicular exanthema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Vesicular stomatitis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Velogenic,viscerotropic newcastle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Domestic Diseases of Regulatory Importance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Report by mail or fax within 3 days of discovery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Bluetongue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Bovine leukemia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Brucellosis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Contagious agalactia of goats &amp; sheep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Equine encephalomyelitis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Equine infectious anemia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Equine rhinopneumonitis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Equine viral arteritis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Johne�s disease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Listeriosis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Malignant catarrhal fever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Pullorum disease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Rabies in livestock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Swine erysipelas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Tuberculosis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